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8674"/>
      </w:tblGrid>
      <w:tr w:rsidR="00686DF1" w:rsidRPr="00D245DB" w14:paraId="1AF12D76" w14:textId="77777777" w:rsidTr="0091417E">
        <w:trPr>
          <w:trHeight w:val="2834"/>
        </w:trPr>
        <w:tc>
          <w:tcPr>
            <w:tcW w:w="2802" w:type="dxa"/>
            <w:shd w:val="clear" w:color="auto" w:fill="0F243E" w:themeFill="text2" w:themeFillShade="80"/>
          </w:tcPr>
          <w:p w14:paraId="641CAEFC" w14:textId="77777777" w:rsidR="00686DF1" w:rsidRPr="000D4A19" w:rsidRDefault="00686DF1" w:rsidP="00AC5ECC">
            <w:pPr>
              <w:rPr>
                <w:rFonts w:cstheme="minorHAnsi"/>
                <w:lang w:val="en-GB"/>
              </w:rPr>
            </w:pPr>
            <w:bookmarkStart w:id="0" w:name="_GoBack"/>
            <w:bookmarkEnd w:id="0"/>
          </w:p>
          <w:p w14:paraId="1DDD740E" w14:textId="600EE416" w:rsidR="002A3044" w:rsidRPr="000D4A19" w:rsidRDefault="0091417E" w:rsidP="00400F59">
            <w:pPr>
              <w:rPr>
                <w:rFonts w:cstheme="minorHAnsi"/>
                <w:lang w:val="en-GB"/>
              </w:rPr>
            </w:pPr>
            <w:r w:rsidRPr="000D4A19">
              <w:rPr>
                <w:rFonts w:cstheme="minorHAnsi"/>
                <w:b/>
                <w:lang w:val="en-GB"/>
              </w:rPr>
              <w:t>Adoption</w:t>
            </w:r>
            <w:r w:rsidRPr="000D4A19">
              <w:rPr>
                <w:rFonts w:cstheme="minorHAnsi"/>
                <w:lang w:val="en-GB"/>
              </w:rPr>
              <w:t xml:space="preserve">: </w:t>
            </w:r>
            <w:r w:rsidR="005C73B7">
              <w:rPr>
                <w:rFonts w:cstheme="minorHAnsi"/>
                <w:lang w:val="en-GB"/>
              </w:rPr>
              <w:t>6 December</w:t>
            </w:r>
            <w:r w:rsidR="00ED19CC">
              <w:rPr>
                <w:rFonts w:cstheme="minorHAnsi"/>
                <w:lang w:val="en-GB"/>
              </w:rPr>
              <w:t>2019</w:t>
            </w:r>
          </w:p>
          <w:p w14:paraId="53B9FD13" w14:textId="4D6DBF45" w:rsidR="00886A0C" w:rsidRPr="000D4A19" w:rsidRDefault="00872279" w:rsidP="00400F59">
            <w:pPr>
              <w:rPr>
                <w:rFonts w:cstheme="minorHAnsi"/>
                <w:lang w:val="en-GB"/>
              </w:rPr>
            </w:pPr>
            <w:r>
              <w:rPr>
                <w:rFonts w:cstheme="minorHAnsi"/>
                <w:lang w:val="en-GB"/>
              </w:rPr>
              <w:t>Publication: 24 March 2020</w:t>
            </w:r>
          </w:p>
          <w:p w14:paraId="212EA064" w14:textId="77777777" w:rsidR="00686DF1" w:rsidRPr="000D4A19" w:rsidRDefault="00686DF1" w:rsidP="00AC5ECC">
            <w:pPr>
              <w:rPr>
                <w:rFonts w:cstheme="minorHAnsi"/>
                <w:lang w:val="en-GB"/>
              </w:rPr>
            </w:pPr>
          </w:p>
        </w:tc>
        <w:tc>
          <w:tcPr>
            <w:tcW w:w="8780" w:type="dxa"/>
            <w:vMerge w:val="restart"/>
            <w:shd w:val="clear" w:color="auto" w:fill="365F91" w:themeFill="accent1" w:themeFillShade="BF"/>
          </w:tcPr>
          <w:p w14:paraId="14CBD1AE" w14:textId="77777777" w:rsidR="00686DF1" w:rsidRPr="000D4A19" w:rsidRDefault="00686DF1" w:rsidP="00AC5ECC">
            <w:pPr>
              <w:ind w:left="459" w:right="876"/>
              <w:jc w:val="right"/>
              <w:rPr>
                <w:rFonts w:cstheme="minorHAnsi"/>
                <w:b/>
                <w:sz w:val="52"/>
                <w:szCs w:val="32"/>
                <w:lang w:val="en-GB"/>
              </w:rPr>
            </w:pPr>
          </w:p>
          <w:p w14:paraId="6A37C046" w14:textId="77777777" w:rsidR="00BD2781" w:rsidRPr="000D4A19" w:rsidRDefault="001667E5" w:rsidP="00AC5ECC">
            <w:pPr>
              <w:ind w:left="459" w:right="734"/>
              <w:jc w:val="right"/>
              <w:rPr>
                <w:rFonts w:eastAsiaTheme="minorEastAsia"/>
                <w:color w:val="FFFFFF" w:themeColor="background1"/>
                <w:szCs w:val="34"/>
                <w:lang w:val="en-GB" w:eastAsia="zh-CN"/>
              </w:rPr>
            </w:pPr>
            <w:r w:rsidRPr="000D4A19">
              <w:rPr>
                <w:rFonts w:eastAsiaTheme="minorEastAsia"/>
                <w:b/>
                <w:color w:val="FFFFFF" w:themeColor="background1"/>
                <w:szCs w:val="34"/>
                <w:lang w:val="en-GB" w:eastAsia="zh-CN"/>
              </w:rPr>
              <w:t>Confidential</w:t>
            </w:r>
          </w:p>
          <w:p w14:paraId="77D822E1" w14:textId="2E21BF49" w:rsidR="00886A0C" w:rsidRPr="000D4A19" w:rsidRDefault="00400F59" w:rsidP="0092294B">
            <w:pPr>
              <w:ind w:left="459" w:right="734"/>
              <w:jc w:val="right"/>
              <w:rPr>
                <w:rFonts w:eastAsiaTheme="minorEastAsia"/>
                <w:color w:val="FFFFFF" w:themeColor="background1"/>
                <w:szCs w:val="34"/>
                <w:lang w:val="en-GB" w:eastAsia="zh-CN"/>
              </w:rPr>
            </w:pPr>
            <w:r w:rsidRPr="000D4A19">
              <w:rPr>
                <w:rFonts w:cs="font310"/>
                <w:color w:val="FFFFFF"/>
                <w:szCs w:val="34"/>
                <w:lang w:val="en-GB"/>
              </w:rPr>
              <w:t>GrecoEval5Rep(2019)1</w:t>
            </w:r>
          </w:p>
          <w:p w14:paraId="39BF0FB2" w14:textId="77777777" w:rsidR="00FB38AB" w:rsidRPr="000D4A19" w:rsidRDefault="00FB38AB" w:rsidP="00AC5ECC">
            <w:pPr>
              <w:ind w:left="459" w:right="734"/>
              <w:jc w:val="right"/>
              <w:rPr>
                <w:rFonts w:eastAsiaTheme="minorEastAsia"/>
                <w:color w:val="FFFFFF" w:themeColor="background1"/>
                <w:sz w:val="28"/>
                <w:szCs w:val="34"/>
                <w:lang w:val="en-GB" w:eastAsia="zh-CN"/>
              </w:rPr>
            </w:pPr>
          </w:p>
          <w:p w14:paraId="71C9E02D" w14:textId="77777777" w:rsidR="001B678B" w:rsidRPr="000D4A19" w:rsidRDefault="001B678B" w:rsidP="00AC5ECC">
            <w:pPr>
              <w:ind w:left="459" w:right="734"/>
              <w:jc w:val="right"/>
              <w:rPr>
                <w:rFonts w:eastAsiaTheme="minorEastAsia"/>
                <w:color w:val="FFFFFF" w:themeColor="background1"/>
                <w:sz w:val="28"/>
                <w:szCs w:val="34"/>
                <w:lang w:val="en-GB" w:eastAsia="zh-CN"/>
              </w:rPr>
            </w:pPr>
          </w:p>
          <w:p w14:paraId="68AA073F" w14:textId="77777777" w:rsidR="00686DF1" w:rsidRPr="000D4A19" w:rsidRDefault="00683683" w:rsidP="00AC5ECC">
            <w:pPr>
              <w:ind w:left="459" w:right="734"/>
              <w:jc w:val="right"/>
              <w:rPr>
                <w:rFonts w:cstheme="minorHAnsi"/>
                <w:i/>
                <w:color w:val="FFFFFF" w:themeColor="background1"/>
                <w:sz w:val="36"/>
                <w:szCs w:val="28"/>
                <w:lang w:val="en-GB"/>
              </w:rPr>
            </w:pPr>
            <w:r w:rsidRPr="000D4A19">
              <w:rPr>
                <w:rFonts w:cstheme="minorHAnsi"/>
                <w:b/>
                <w:color w:val="FFFFFF" w:themeColor="background1"/>
                <w:sz w:val="48"/>
                <w:szCs w:val="32"/>
                <w:lang w:val="en-GB"/>
              </w:rPr>
              <w:t>FIFTH EVALUATION ROUND</w:t>
            </w:r>
          </w:p>
          <w:p w14:paraId="5DE4E11D" w14:textId="77777777" w:rsidR="00683683" w:rsidRPr="000D4A19" w:rsidRDefault="00683683" w:rsidP="00AC5ECC">
            <w:pPr>
              <w:ind w:left="459" w:right="734"/>
              <w:jc w:val="right"/>
              <w:rPr>
                <w:rFonts w:eastAsiaTheme="minorEastAsia"/>
                <w:color w:val="FFFFFF" w:themeColor="background1"/>
                <w:sz w:val="28"/>
                <w:szCs w:val="34"/>
                <w:lang w:val="en-GB" w:eastAsia="zh-CN"/>
              </w:rPr>
            </w:pPr>
            <w:r w:rsidRPr="000D4A19">
              <w:rPr>
                <w:rFonts w:eastAsiaTheme="minorEastAsia"/>
                <w:color w:val="FFFFFF" w:themeColor="background1"/>
                <w:sz w:val="28"/>
                <w:szCs w:val="34"/>
                <w:lang w:val="en-GB" w:eastAsia="zh-CN"/>
              </w:rPr>
              <w:t>Preventing corrup</w:t>
            </w:r>
            <w:r w:rsidR="002A3044" w:rsidRPr="000D4A19">
              <w:rPr>
                <w:rFonts w:eastAsiaTheme="minorEastAsia"/>
                <w:color w:val="FFFFFF" w:themeColor="background1"/>
                <w:sz w:val="28"/>
                <w:szCs w:val="34"/>
                <w:lang w:val="en-GB" w:eastAsia="zh-CN"/>
              </w:rPr>
              <w:t>tion and promoting integrity in</w:t>
            </w:r>
          </w:p>
          <w:p w14:paraId="309CFE96" w14:textId="77777777" w:rsidR="00683683" w:rsidRPr="000D4A19" w:rsidRDefault="00683683" w:rsidP="00AC5ECC">
            <w:pPr>
              <w:ind w:left="459" w:right="734"/>
              <w:jc w:val="right"/>
              <w:rPr>
                <w:rFonts w:eastAsiaTheme="minorEastAsia"/>
                <w:color w:val="FFFFFF" w:themeColor="background1"/>
                <w:sz w:val="28"/>
                <w:szCs w:val="34"/>
                <w:lang w:val="en-GB" w:eastAsia="zh-CN"/>
              </w:rPr>
            </w:pPr>
            <w:r w:rsidRPr="000D4A19">
              <w:rPr>
                <w:rFonts w:eastAsiaTheme="minorEastAsia"/>
                <w:color w:val="FFFFFF" w:themeColor="background1"/>
                <w:sz w:val="28"/>
                <w:szCs w:val="34"/>
                <w:lang w:val="en-GB" w:eastAsia="zh-CN"/>
              </w:rPr>
              <w:t>central governments (top executive functions) and</w:t>
            </w:r>
          </w:p>
          <w:p w14:paraId="11DF8D4C" w14:textId="77777777" w:rsidR="00697907" w:rsidRPr="000D4A19" w:rsidRDefault="00683683" w:rsidP="00AC5ECC">
            <w:pPr>
              <w:ind w:left="459" w:right="734"/>
              <w:jc w:val="right"/>
              <w:rPr>
                <w:rFonts w:cstheme="minorHAnsi"/>
                <w:i/>
                <w:color w:val="FFFFFF" w:themeColor="background1"/>
                <w:sz w:val="36"/>
                <w:szCs w:val="28"/>
                <w:lang w:val="en-GB"/>
              </w:rPr>
            </w:pPr>
            <w:r w:rsidRPr="000D4A19">
              <w:rPr>
                <w:rFonts w:eastAsiaTheme="minorEastAsia"/>
                <w:color w:val="FFFFFF" w:themeColor="background1"/>
                <w:sz w:val="28"/>
                <w:szCs w:val="34"/>
                <w:lang w:val="en-GB" w:eastAsia="zh-CN"/>
              </w:rPr>
              <w:t>law enforcement agencies</w:t>
            </w:r>
          </w:p>
          <w:p w14:paraId="483C570E" w14:textId="77777777" w:rsidR="00697B65" w:rsidRPr="000D4A19" w:rsidRDefault="00697B65" w:rsidP="00AC5ECC">
            <w:pPr>
              <w:ind w:left="459" w:right="734"/>
              <w:jc w:val="right"/>
              <w:rPr>
                <w:rFonts w:cstheme="minorHAnsi"/>
                <w:i/>
                <w:color w:val="FFFFFF" w:themeColor="background1"/>
                <w:sz w:val="36"/>
                <w:szCs w:val="28"/>
                <w:lang w:val="en-GB"/>
              </w:rPr>
            </w:pPr>
          </w:p>
          <w:p w14:paraId="4DE481A3" w14:textId="77777777" w:rsidR="00683683" w:rsidRPr="000D4A19" w:rsidRDefault="00683683" w:rsidP="00AC5ECC">
            <w:pPr>
              <w:ind w:left="459" w:right="734"/>
              <w:jc w:val="right"/>
              <w:rPr>
                <w:rFonts w:cstheme="minorHAnsi"/>
                <w:i/>
                <w:color w:val="FFFFFF" w:themeColor="background1"/>
                <w:sz w:val="36"/>
                <w:szCs w:val="28"/>
                <w:lang w:val="en-GB"/>
              </w:rPr>
            </w:pPr>
          </w:p>
          <w:p w14:paraId="524E23FA" w14:textId="77777777" w:rsidR="00164577" w:rsidRPr="000D4A19" w:rsidRDefault="00164577" w:rsidP="00AC5ECC">
            <w:pPr>
              <w:ind w:left="459" w:right="734"/>
              <w:jc w:val="right"/>
              <w:rPr>
                <w:rFonts w:cstheme="minorHAnsi"/>
                <w:b/>
                <w:color w:val="F2DBDB" w:themeColor="accent2" w:themeTint="33"/>
                <w:sz w:val="48"/>
                <w:szCs w:val="32"/>
                <w:u w:val="single"/>
                <w:lang w:val="en-GB"/>
              </w:rPr>
            </w:pPr>
          </w:p>
          <w:p w14:paraId="7A8DDDE9" w14:textId="77777777" w:rsidR="00715CBC" w:rsidRDefault="00715CBC" w:rsidP="00AC5ECC">
            <w:pPr>
              <w:ind w:left="459" w:right="734"/>
              <w:jc w:val="right"/>
              <w:rPr>
                <w:rFonts w:cstheme="minorHAnsi"/>
                <w:b/>
                <w:color w:val="FFFFFF" w:themeColor="background1"/>
                <w:sz w:val="48"/>
                <w:szCs w:val="32"/>
                <w:lang w:val="en-GB"/>
              </w:rPr>
            </w:pPr>
          </w:p>
          <w:p w14:paraId="1AC71EE4" w14:textId="6453B684" w:rsidR="00697907" w:rsidRPr="000D4A19" w:rsidRDefault="00164577" w:rsidP="00AC5ECC">
            <w:pPr>
              <w:ind w:left="459" w:right="734"/>
              <w:jc w:val="right"/>
              <w:rPr>
                <w:rFonts w:cstheme="minorHAnsi"/>
                <w:b/>
                <w:color w:val="FFFFFF" w:themeColor="background1"/>
                <w:sz w:val="48"/>
                <w:szCs w:val="32"/>
                <w:lang w:val="en-GB"/>
              </w:rPr>
            </w:pPr>
            <w:r w:rsidRPr="000D4A19">
              <w:rPr>
                <w:rFonts w:cstheme="minorHAnsi"/>
                <w:b/>
                <w:color w:val="FFFFFF" w:themeColor="background1"/>
                <w:sz w:val="48"/>
                <w:szCs w:val="32"/>
                <w:lang w:val="en-GB"/>
              </w:rPr>
              <w:t>EVALUATION REPORT</w:t>
            </w:r>
          </w:p>
          <w:p w14:paraId="63F8C7F9" w14:textId="77777777" w:rsidR="002A3044" w:rsidRPr="000D4A19" w:rsidRDefault="002A3044" w:rsidP="00AC5ECC">
            <w:pPr>
              <w:ind w:left="459" w:right="734"/>
              <w:jc w:val="right"/>
              <w:rPr>
                <w:rFonts w:cstheme="minorHAnsi"/>
                <w:b/>
                <w:color w:val="FFFFFF" w:themeColor="background1"/>
                <w:sz w:val="48"/>
                <w:szCs w:val="32"/>
                <w:lang w:val="en-GB"/>
              </w:rPr>
            </w:pPr>
          </w:p>
          <w:p w14:paraId="5A1C8FAB" w14:textId="77777777" w:rsidR="00764AB6" w:rsidRPr="000D4A19" w:rsidRDefault="00764AB6" w:rsidP="00AC5ECC">
            <w:pPr>
              <w:ind w:left="459" w:right="734"/>
              <w:jc w:val="right"/>
              <w:rPr>
                <w:rFonts w:cstheme="minorHAnsi"/>
                <w:b/>
                <w:color w:val="FFFFFF" w:themeColor="background1"/>
                <w:sz w:val="48"/>
                <w:szCs w:val="32"/>
                <w:lang w:val="en-GB"/>
              </w:rPr>
            </w:pPr>
          </w:p>
          <w:p w14:paraId="14C088C3" w14:textId="77777777" w:rsidR="00686DF1" w:rsidRPr="000D4A19" w:rsidRDefault="001667E5" w:rsidP="00AC5ECC">
            <w:pPr>
              <w:ind w:left="459" w:right="734"/>
              <w:jc w:val="right"/>
              <w:rPr>
                <w:rFonts w:cstheme="minorHAnsi"/>
                <w:b/>
                <w:sz w:val="36"/>
                <w:szCs w:val="28"/>
                <w:lang w:val="en-GB"/>
              </w:rPr>
            </w:pPr>
            <w:r w:rsidRPr="000D4A19">
              <w:rPr>
                <w:rFonts w:cstheme="minorHAnsi"/>
                <w:b/>
                <w:color w:val="FBD4B4" w:themeColor="accent6" w:themeTint="66"/>
                <w:sz w:val="96"/>
                <w:szCs w:val="28"/>
                <w:lang w:val="en-GB"/>
              </w:rPr>
              <w:t>C</w:t>
            </w:r>
            <w:r w:rsidR="00400F59" w:rsidRPr="000D4A19">
              <w:rPr>
                <w:rFonts w:cstheme="minorHAnsi"/>
                <w:b/>
                <w:color w:val="FBD4B4" w:themeColor="accent6" w:themeTint="66"/>
                <w:sz w:val="96"/>
                <w:szCs w:val="28"/>
                <w:lang w:val="en-GB"/>
              </w:rPr>
              <w:t>ROATIA</w:t>
            </w:r>
          </w:p>
          <w:p w14:paraId="394B5B0F" w14:textId="77777777" w:rsidR="00686DF1" w:rsidRPr="000D4A19" w:rsidRDefault="00686DF1" w:rsidP="00AC5ECC">
            <w:pPr>
              <w:ind w:left="459" w:right="593"/>
              <w:jc w:val="right"/>
              <w:rPr>
                <w:rFonts w:cstheme="minorHAnsi"/>
                <w:lang w:val="en-GB"/>
              </w:rPr>
            </w:pPr>
          </w:p>
        </w:tc>
      </w:tr>
      <w:tr w:rsidR="00686DF1" w:rsidRPr="00D245DB" w14:paraId="0E060593" w14:textId="77777777" w:rsidTr="0091417E">
        <w:trPr>
          <w:trHeight w:val="2852"/>
        </w:trPr>
        <w:tc>
          <w:tcPr>
            <w:tcW w:w="2802" w:type="dxa"/>
            <w:shd w:val="clear" w:color="auto" w:fill="17365D" w:themeFill="text2" w:themeFillShade="BF"/>
          </w:tcPr>
          <w:p w14:paraId="3169C7A2" w14:textId="77777777" w:rsidR="00686DF1" w:rsidRPr="000D4A19" w:rsidRDefault="00686DF1" w:rsidP="00AC5ECC">
            <w:pPr>
              <w:rPr>
                <w:rFonts w:cstheme="minorHAnsi"/>
                <w:lang w:val="en-GB"/>
              </w:rPr>
            </w:pPr>
          </w:p>
          <w:p w14:paraId="421C5B6E" w14:textId="77777777" w:rsidR="00686DF1" w:rsidRPr="000D4A19" w:rsidRDefault="00686DF1" w:rsidP="00AC5ECC">
            <w:pPr>
              <w:rPr>
                <w:rFonts w:cstheme="minorHAnsi"/>
                <w:lang w:val="en-GB"/>
              </w:rPr>
            </w:pPr>
          </w:p>
        </w:tc>
        <w:tc>
          <w:tcPr>
            <w:tcW w:w="8780" w:type="dxa"/>
            <w:vMerge/>
            <w:shd w:val="clear" w:color="auto" w:fill="365F91" w:themeFill="accent1" w:themeFillShade="BF"/>
          </w:tcPr>
          <w:p w14:paraId="54EC7309" w14:textId="77777777" w:rsidR="00686DF1" w:rsidRPr="000D4A19" w:rsidRDefault="00686DF1" w:rsidP="00AC5ECC">
            <w:pPr>
              <w:ind w:left="459" w:right="876"/>
              <w:rPr>
                <w:rFonts w:cstheme="minorHAnsi"/>
                <w:lang w:val="en-GB"/>
              </w:rPr>
            </w:pPr>
          </w:p>
        </w:tc>
      </w:tr>
      <w:tr w:rsidR="00686DF1" w:rsidRPr="00D245DB" w14:paraId="3560ED2C" w14:textId="77777777" w:rsidTr="0091417E">
        <w:trPr>
          <w:trHeight w:val="2862"/>
        </w:trPr>
        <w:tc>
          <w:tcPr>
            <w:tcW w:w="2802" w:type="dxa"/>
            <w:shd w:val="clear" w:color="auto" w:fill="244061" w:themeFill="accent1" w:themeFillShade="80"/>
          </w:tcPr>
          <w:p w14:paraId="1810A20F" w14:textId="77777777" w:rsidR="00686DF1" w:rsidRPr="000D4A19" w:rsidRDefault="00686DF1" w:rsidP="00AC5ECC">
            <w:pPr>
              <w:rPr>
                <w:rFonts w:cstheme="minorHAnsi"/>
                <w:lang w:val="en-GB"/>
              </w:rPr>
            </w:pPr>
          </w:p>
        </w:tc>
        <w:tc>
          <w:tcPr>
            <w:tcW w:w="8780" w:type="dxa"/>
            <w:vMerge/>
            <w:shd w:val="clear" w:color="auto" w:fill="365F91" w:themeFill="accent1" w:themeFillShade="BF"/>
          </w:tcPr>
          <w:p w14:paraId="5125E221" w14:textId="77777777" w:rsidR="00686DF1" w:rsidRPr="000D4A19" w:rsidRDefault="00686DF1" w:rsidP="00AC5ECC">
            <w:pPr>
              <w:ind w:left="459" w:right="876"/>
              <w:rPr>
                <w:rFonts w:cstheme="minorHAnsi"/>
                <w:lang w:val="en-GB"/>
              </w:rPr>
            </w:pPr>
          </w:p>
        </w:tc>
      </w:tr>
      <w:tr w:rsidR="008D5658" w:rsidRPr="00D245DB" w14:paraId="2B672829" w14:textId="77777777">
        <w:tc>
          <w:tcPr>
            <w:tcW w:w="11582" w:type="dxa"/>
            <w:gridSpan w:val="2"/>
            <w:shd w:val="clear" w:color="auto" w:fill="DBE5F1" w:themeFill="accent1" w:themeFillTint="33"/>
          </w:tcPr>
          <w:p w14:paraId="62777B03" w14:textId="77777777" w:rsidR="008D5658" w:rsidRPr="000D4A19" w:rsidRDefault="00697907" w:rsidP="00AC5ECC">
            <w:pPr>
              <w:ind w:left="459"/>
              <w:rPr>
                <w:rFonts w:cstheme="minorHAnsi"/>
                <w:lang w:val="en-GB"/>
              </w:rPr>
            </w:pPr>
            <w:r w:rsidRPr="000D4A19">
              <w:rPr>
                <w:noProof/>
                <w:lang w:val="en-US"/>
              </w:rPr>
              <w:drawing>
                <wp:anchor distT="0" distB="0" distL="114300" distR="114300" simplePos="0" relativeHeight="251656704" behindDoc="0" locked="0" layoutInCell="1" allowOverlap="1" wp14:anchorId="0170D58D" wp14:editId="60BD3300">
                  <wp:simplePos x="0" y="0"/>
                  <wp:positionH relativeFrom="column">
                    <wp:posOffset>-78740</wp:posOffset>
                  </wp:positionH>
                  <wp:positionV relativeFrom="paragraph">
                    <wp:posOffset>7307</wp:posOffset>
                  </wp:positionV>
                  <wp:extent cx="7356143" cy="1867115"/>
                  <wp:effectExtent l="0" t="0" r="0" b="0"/>
                  <wp:wrapNone/>
                  <wp:docPr id="1" name="Picture 1" descr="C:\Users\pincemaille\AppData\Local\Microsoft\Windows\Temporary Internet Files\Content.Outlook\KAEAU5KC\shutterstock_52485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AppData\Local\Microsoft\Windows\Temporary Internet Files\Content.Outlook\KAEAU5KC\shutterstock_5248517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56143" cy="1867115"/>
                          </a:xfrm>
                          <a:prstGeom prst="rect">
                            <a:avLst/>
                          </a:prstGeom>
                          <a:noFill/>
                          <a:ln>
                            <a:noFill/>
                          </a:ln>
                        </pic:spPr>
                      </pic:pic>
                    </a:graphicData>
                  </a:graphic>
                </wp:anchor>
              </w:drawing>
            </w:r>
          </w:p>
          <w:p w14:paraId="1CB70D9D" w14:textId="77777777" w:rsidR="003B0DF5" w:rsidRPr="000D4A19" w:rsidRDefault="003B0DF5" w:rsidP="00AC5ECC">
            <w:pPr>
              <w:ind w:left="459"/>
              <w:rPr>
                <w:rFonts w:cstheme="minorHAnsi"/>
                <w:lang w:val="en-GB"/>
              </w:rPr>
            </w:pPr>
          </w:p>
          <w:p w14:paraId="35920C9D" w14:textId="77777777" w:rsidR="003B0DF5" w:rsidRPr="000D4A19" w:rsidRDefault="003B0DF5" w:rsidP="00AC5ECC">
            <w:pPr>
              <w:ind w:left="459"/>
              <w:rPr>
                <w:rFonts w:cstheme="minorHAnsi"/>
                <w:lang w:val="en-GB"/>
              </w:rPr>
            </w:pPr>
          </w:p>
          <w:p w14:paraId="3EFAAEF0" w14:textId="77777777" w:rsidR="003B0DF5" w:rsidRPr="000D4A19" w:rsidRDefault="003B0DF5" w:rsidP="00AC5ECC">
            <w:pPr>
              <w:ind w:left="459"/>
              <w:rPr>
                <w:rFonts w:cstheme="minorHAnsi"/>
                <w:lang w:val="en-GB"/>
              </w:rPr>
            </w:pPr>
          </w:p>
          <w:p w14:paraId="3216071A" w14:textId="77777777" w:rsidR="003B0DF5" w:rsidRPr="000D4A19" w:rsidRDefault="003B0DF5" w:rsidP="00AC5ECC">
            <w:pPr>
              <w:ind w:left="459"/>
              <w:rPr>
                <w:rFonts w:cstheme="minorHAnsi"/>
                <w:lang w:val="en-GB"/>
              </w:rPr>
            </w:pPr>
          </w:p>
          <w:p w14:paraId="121B4917" w14:textId="77777777" w:rsidR="003B0DF5" w:rsidRPr="000D4A19" w:rsidRDefault="003B0DF5" w:rsidP="00AC5ECC">
            <w:pPr>
              <w:ind w:left="459"/>
              <w:rPr>
                <w:rFonts w:cstheme="minorHAnsi"/>
                <w:lang w:val="en-GB"/>
              </w:rPr>
            </w:pPr>
          </w:p>
          <w:p w14:paraId="3BCFA643" w14:textId="77777777" w:rsidR="003B0DF5" w:rsidRPr="000D4A19" w:rsidRDefault="003B0DF5" w:rsidP="00AC5ECC">
            <w:pPr>
              <w:ind w:left="459"/>
              <w:rPr>
                <w:rFonts w:cstheme="minorHAnsi"/>
                <w:lang w:val="en-GB"/>
              </w:rPr>
            </w:pPr>
          </w:p>
          <w:p w14:paraId="282A26F1" w14:textId="77777777" w:rsidR="003B0DF5" w:rsidRPr="000D4A19" w:rsidRDefault="003B0DF5" w:rsidP="00AC5ECC">
            <w:pPr>
              <w:ind w:left="459"/>
              <w:rPr>
                <w:rFonts w:cstheme="minorHAnsi"/>
                <w:lang w:val="en-GB"/>
              </w:rPr>
            </w:pPr>
          </w:p>
          <w:p w14:paraId="7424B3C7" w14:textId="77777777" w:rsidR="003B0DF5" w:rsidRPr="000D4A19" w:rsidRDefault="003B0DF5" w:rsidP="00AC5ECC">
            <w:pPr>
              <w:ind w:left="459"/>
              <w:rPr>
                <w:rFonts w:cstheme="minorHAnsi"/>
                <w:lang w:val="en-GB"/>
              </w:rPr>
            </w:pPr>
          </w:p>
          <w:p w14:paraId="3F11DD64" w14:textId="77777777" w:rsidR="003B0DF5" w:rsidRPr="000D4A19" w:rsidRDefault="003B0DF5" w:rsidP="00AC5ECC">
            <w:pPr>
              <w:ind w:left="459"/>
              <w:rPr>
                <w:rFonts w:cstheme="minorHAnsi"/>
                <w:lang w:val="en-GB"/>
              </w:rPr>
            </w:pPr>
          </w:p>
        </w:tc>
      </w:tr>
      <w:tr w:rsidR="006D6988" w:rsidRPr="00D245DB" w14:paraId="7FC107C5" w14:textId="77777777" w:rsidTr="0091417E">
        <w:tc>
          <w:tcPr>
            <w:tcW w:w="2802" w:type="dxa"/>
          </w:tcPr>
          <w:p w14:paraId="2F7C76C6" w14:textId="77777777" w:rsidR="006D6988" w:rsidRPr="000D4A19" w:rsidRDefault="006D6988" w:rsidP="00AC5ECC">
            <w:pPr>
              <w:rPr>
                <w:rFonts w:cstheme="minorHAnsi"/>
                <w:lang w:val="en-GB"/>
              </w:rPr>
            </w:pPr>
          </w:p>
        </w:tc>
        <w:tc>
          <w:tcPr>
            <w:tcW w:w="8780" w:type="dxa"/>
            <w:shd w:val="clear" w:color="auto" w:fill="auto"/>
          </w:tcPr>
          <w:p w14:paraId="54E56784" w14:textId="77777777" w:rsidR="006D6988" w:rsidRPr="000D4A19" w:rsidRDefault="006D6988" w:rsidP="00AC5ECC">
            <w:pPr>
              <w:ind w:left="459" w:right="876" w:firstLine="317"/>
              <w:rPr>
                <w:rFonts w:cstheme="minorHAnsi"/>
                <w:lang w:val="en-GB"/>
              </w:rPr>
            </w:pPr>
          </w:p>
        </w:tc>
      </w:tr>
      <w:tr w:rsidR="00D46E81" w:rsidRPr="00D245DB" w14:paraId="728AA979" w14:textId="77777777" w:rsidTr="0091417E">
        <w:tc>
          <w:tcPr>
            <w:tcW w:w="2802" w:type="dxa"/>
            <w:tcBorders>
              <w:right w:val="dashed" w:sz="4" w:space="0" w:color="auto"/>
            </w:tcBorders>
          </w:tcPr>
          <w:p w14:paraId="2B540216" w14:textId="77777777" w:rsidR="00D46E81" w:rsidRPr="000D4A19" w:rsidRDefault="00D46E81" w:rsidP="00AC5ECC">
            <w:pPr>
              <w:rPr>
                <w:rFonts w:cstheme="minorHAnsi"/>
                <w:lang w:val="en-GB"/>
              </w:rPr>
            </w:pPr>
          </w:p>
          <w:p w14:paraId="50E0C0A9" w14:textId="77777777" w:rsidR="00D46E81" w:rsidRPr="000D4A19" w:rsidRDefault="00D46E81" w:rsidP="00AC5ECC">
            <w:pPr>
              <w:rPr>
                <w:rFonts w:cstheme="minorHAnsi"/>
                <w:lang w:val="en-GB"/>
              </w:rPr>
            </w:pPr>
          </w:p>
          <w:p w14:paraId="594BF5D9" w14:textId="77777777" w:rsidR="00D46E81" w:rsidRPr="000D4A19" w:rsidRDefault="00D46E81" w:rsidP="00AC5ECC">
            <w:pPr>
              <w:rPr>
                <w:rFonts w:cstheme="minorHAnsi"/>
                <w:lang w:val="en-GB"/>
              </w:rPr>
            </w:pPr>
          </w:p>
          <w:p w14:paraId="52237998" w14:textId="77777777" w:rsidR="00D46E81" w:rsidRPr="000D4A19" w:rsidRDefault="00D46E81" w:rsidP="00AC5ECC">
            <w:pPr>
              <w:rPr>
                <w:rFonts w:cstheme="minorHAnsi"/>
                <w:lang w:val="en-GB"/>
              </w:rPr>
            </w:pPr>
          </w:p>
          <w:p w14:paraId="35FCAE69" w14:textId="77777777" w:rsidR="003B0DF5" w:rsidRPr="000D4A19" w:rsidRDefault="003B0DF5" w:rsidP="00AC5ECC">
            <w:pPr>
              <w:rPr>
                <w:rFonts w:cstheme="minorHAnsi"/>
                <w:lang w:val="en-GB"/>
              </w:rPr>
            </w:pPr>
          </w:p>
          <w:p w14:paraId="39BBC517" w14:textId="77777777" w:rsidR="00D46E81" w:rsidRPr="000D4A19" w:rsidRDefault="00D46E81" w:rsidP="00AC5ECC">
            <w:pPr>
              <w:rPr>
                <w:rFonts w:cstheme="minorHAnsi"/>
                <w:lang w:val="en-GB"/>
              </w:rPr>
            </w:pPr>
          </w:p>
          <w:p w14:paraId="7384E01D" w14:textId="77777777" w:rsidR="00D46E81" w:rsidRPr="000D4A19" w:rsidRDefault="00D46E81" w:rsidP="00AC5ECC">
            <w:pPr>
              <w:rPr>
                <w:rFonts w:cstheme="minorHAnsi"/>
                <w:lang w:val="en-GB"/>
              </w:rPr>
            </w:pPr>
          </w:p>
          <w:p w14:paraId="4B96B3CB" w14:textId="77777777" w:rsidR="00D46E81" w:rsidRPr="000D4A19" w:rsidRDefault="00D46E81" w:rsidP="00AC5ECC">
            <w:pPr>
              <w:rPr>
                <w:rFonts w:cstheme="minorHAnsi"/>
                <w:lang w:val="en-GB"/>
              </w:rPr>
            </w:pPr>
          </w:p>
          <w:p w14:paraId="6F7C44F1" w14:textId="77777777" w:rsidR="00D46E81" w:rsidRPr="000D4A19" w:rsidRDefault="00D46E81" w:rsidP="00AC5ECC">
            <w:pPr>
              <w:rPr>
                <w:rFonts w:cstheme="minorHAnsi"/>
                <w:lang w:val="en-GB"/>
              </w:rPr>
            </w:pPr>
          </w:p>
        </w:tc>
        <w:tc>
          <w:tcPr>
            <w:tcW w:w="8780" w:type="dxa"/>
            <w:tcBorders>
              <w:left w:val="dashed" w:sz="4" w:space="0" w:color="auto"/>
            </w:tcBorders>
            <w:shd w:val="clear" w:color="auto" w:fill="auto"/>
          </w:tcPr>
          <w:p w14:paraId="0D6DB55C" w14:textId="77777777" w:rsidR="00D46E81" w:rsidRPr="000D4A19" w:rsidRDefault="00D46E81" w:rsidP="00AC5ECC">
            <w:pPr>
              <w:ind w:left="459" w:right="876"/>
              <w:rPr>
                <w:rFonts w:cstheme="minorHAnsi"/>
                <w:lang w:val="en-GB"/>
              </w:rPr>
            </w:pPr>
          </w:p>
          <w:p w14:paraId="44D33BCD" w14:textId="77777777" w:rsidR="00894D59" w:rsidRPr="000D4A19" w:rsidRDefault="00894D59" w:rsidP="00AC5ECC">
            <w:pPr>
              <w:ind w:left="459" w:right="876" w:firstLine="317"/>
              <w:rPr>
                <w:rFonts w:cstheme="minorHAnsi"/>
                <w:sz w:val="28"/>
                <w:szCs w:val="28"/>
                <w:lang w:val="en-GB"/>
              </w:rPr>
            </w:pPr>
          </w:p>
          <w:p w14:paraId="76A9F5D8" w14:textId="77777777" w:rsidR="006B5B9C" w:rsidRPr="000D4A19" w:rsidRDefault="006B5B9C" w:rsidP="00AC5ECC">
            <w:pPr>
              <w:ind w:left="459" w:right="876" w:firstLine="317"/>
              <w:rPr>
                <w:rFonts w:cstheme="minorHAnsi"/>
                <w:sz w:val="28"/>
                <w:szCs w:val="28"/>
                <w:lang w:val="en-GB"/>
              </w:rPr>
            </w:pPr>
          </w:p>
          <w:p w14:paraId="71495F85" w14:textId="77777777" w:rsidR="00DB1C06" w:rsidRPr="000D4A19" w:rsidRDefault="00DB1C06" w:rsidP="00AC5ECC">
            <w:pPr>
              <w:ind w:left="459" w:right="876" w:firstLine="317"/>
              <w:rPr>
                <w:rFonts w:cstheme="minorHAnsi"/>
                <w:sz w:val="28"/>
                <w:szCs w:val="28"/>
                <w:lang w:val="en-GB"/>
              </w:rPr>
            </w:pPr>
          </w:p>
          <w:p w14:paraId="26E25B7E" w14:textId="1B06D915" w:rsidR="00764AB6" w:rsidRPr="000D4A19" w:rsidRDefault="00ED19CC" w:rsidP="001667E5">
            <w:pPr>
              <w:ind w:left="459" w:right="734" w:firstLine="317"/>
              <w:jc w:val="right"/>
              <w:rPr>
                <w:rFonts w:cstheme="minorHAnsi"/>
                <w:sz w:val="28"/>
                <w:szCs w:val="28"/>
                <w:lang w:val="en-GB"/>
              </w:rPr>
            </w:pPr>
            <w:r>
              <w:rPr>
                <w:rFonts w:cstheme="minorHAnsi"/>
                <w:sz w:val="28"/>
                <w:szCs w:val="28"/>
                <w:lang w:val="en-GB"/>
              </w:rPr>
              <w:t>Adopted</w:t>
            </w:r>
            <w:r w:rsidR="001667E5" w:rsidRPr="000D4A19">
              <w:rPr>
                <w:rFonts w:cstheme="minorHAnsi"/>
                <w:sz w:val="28"/>
                <w:szCs w:val="28"/>
                <w:lang w:val="en-GB"/>
              </w:rPr>
              <w:t xml:space="preserve"> </w:t>
            </w:r>
            <w:r w:rsidR="00683683" w:rsidRPr="000D4A19">
              <w:rPr>
                <w:rFonts w:cstheme="minorHAnsi"/>
                <w:sz w:val="28"/>
                <w:szCs w:val="28"/>
                <w:lang w:val="en-GB"/>
              </w:rPr>
              <w:t xml:space="preserve">by </w:t>
            </w:r>
            <w:r w:rsidR="00764AB6" w:rsidRPr="000D4A19">
              <w:rPr>
                <w:rFonts w:cstheme="minorHAnsi"/>
                <w:sz w:val="28"/>
                <w:szCs w:val="28"/>
                <w:lang w:val="en-GB"/>
              </w:rPr>
              <w:t>GRECO</w:t>
            </w:r>
          </w:p>
          <w:p w14:paraId="54DCB316" w14:textId="77777777" w:rsidR="00400F59" w:rsidRPr="000D4A19" w:rsidRDefault="00400F59" w:rsidP="00400F59">
            <w:pPr>
              <w:ind w:left="459" w:right="734" w:firstLine="317"/>
              <w:jc w:val="right"/>
              <w:rPr>
                <w:rFonts w:cstheme="minorHAnsi"/>
                <w:sz w:val="20"/>
                <w:lang w:val="en-GB"/>
              </w:rPr>
            </w:pPr>
            <w:r w:rsidRPr="000D4A19">
              <w:rPr>
                <w:rFonts w:cstheme="minorHAnsi"/>
                <w:sz w:val="28"/>
                <w:szCs w:val="28"/>
                <w:lang w:val="en-GB"/>
              </w:rPr>
              <w:t>at its 84</w:t>
            </w:r>
            <w:r w:rsidRPr="000D4A19">
              <w:rPr>
                <w:rFonts w:cstheme="minorHAnsi"/>
                <w:sz w:val="28"/>
                <w:szCs w:val="28"/>
                <w:vertAlign w:val="superscript"/>
                <w:lang w:val="en-GB"/>
              </w:rPr>
              <w:t>th</w:t>
            </w:r>
            <w:r w:rsidRPr="000D4A19">
              <w:rPr>
                <w:rFonts w:cstheme="minorHAnsi"/>
                <w:sz w:val="28"/>
                <w:szCs w:val="28"/>
                <w:lang w:val="en-GB"/>
              </w:rPr>
              <w:t xml:space="preserve"> Plenary Meeting (Strasbourg, 2-6 December 2019)</w:t>
            </w:r>
          </w:p>
          <w:p w14:paraId="31CF2351" w14:textId="77777777" w:rsidR="002E2112" w:rsidRPr="000D4A19" w:rsidRDefault="002E2112" w:rsidP="001667E5">
            <w:pPr>
              <w:ind w:left="459" w:right="734" w:firstLine="317"/>
              <w:jc w:val="right"/>
              <w:rPr>
                <w:rFonts w:cstheme="minorHAnsi"/>
                <w:lang w:val="en-GB"/>
              </w:rPr>
            </w:pPr>
          </w:p>
        </w:tc>
      </w:tr>
    </w:tbl>
    <w:p w14:paraId="4C9478FF" w14:textId="77777777" w:rsidR="00D46E81" w:rsidRPr="000D4A19" w:rsidRDefault="006D5909" w:rsidP="00AC5ECC">
      <w:pPr>
        <w:tabs>
          <w:tab w:val="left" w:pos="10773"/>
        </w:tabs>
        <w:spacing w:after="0"/>
        <w:rPr>
          <w:rFonts w:cstheme="minorHAnsi"/>
          <w:lang w:val="en-GB"/>
        </w:rPr>
      </w:pPr>
      <w:r w:rsidRPr="000D4A19">
        <w:rPr>
          <w:b/>
          <w:noProof/>
          <w:sz w:val="32"/>
          <w:szCs w:val="18"/>
          <w:lang w:val="en-US"/>
        </w:rPr>
        <w:drawing>
          <wp:anchor distT="0" distB="0" distL="114300" distR="114300" simplePos="0" relativeHeight="251657728" behindDoc="1" locked="0" layoutInCell="1" allowOverlap="1" wp14:anchorId="555A6A5B" wp14:editId="08AF04D2">
            <wp:simplePos x="0" y="0"/>
            <wp:positionH relativeFrom="margin">
              <wp:posOffset>2994660</wp:posOffset>
            </wp:positionH>
            <wp:positionV relativeFrom="paragraph">
              <wp:posOffset>36830</wp:posOffset>
            </wp:positionV>
            <wp:extent cx="4286250" cy="1581150"/>
            <wp:effectExtent l="0" t="0" r="0" b="0"/>
            <wp:wrapNone/>
            <wp:docPr id="6" name="Picture 6" descr="C:\Users\pincemaille\Pictures\COE-logo-and-GRECO-4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Pictures\COE-logo-and-GRECO-450px.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1581150"/>
                    </a:xfrm>
                    <a:prstGeom prst="rect">
                      <a:avLst/>
                    </a:prstGeom>
                    <a:noFill/>
                    <a:ln>
                      <a:noFill/>
                    </a:ln>
                  </pic:spPr>
                </pic:pic>
              </a:graphicData>
            </a:graphic>
          </wp:anchor>
        </w:drawing>
      </w:r>
      <w:r w:rsidR="00D46E81" w:rsidRPr="000D4A19">
        <w:rPr>
          <w:rFonts w:cstheme="minorHAnsi"/>
          <w:lang w:val="en-GB"/>
        </w:rPr>
        <w:br w:type="page"/>
      </w:r>
    </w:p>
    <w:p w14:paraId="76F2BA28" w14:textId="77777777" w:rsidR="005F619A" w:rsidRPr="000D4A19" w:rsidRDefault="005F619A" w:rsidP="00AC5ECC">
      <w:pPr>
        <w:pStyle w:val="Naslov1"/>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ind w:left="284" w:right="243"/>
        <w:jc w:val="center"/>
        <w:rPr>
          <w:rFonts w:asciiTheme="minorHAnsi" w:hAnsiTheme="minorHAnsi"/>
          <w:color w:val="0F243E" w:themeColor="text2" w:themeShade="80"/>
          <w:sz w:val="22"/>
          <w:szCs w:val="30"/>
          <w:lang w:val="en-GB"/>
        </w:rPr>
        <w:sectPr w:rsidR="005F619A" w:rsidRPr="000D4A19">
          <w:footerReference w:type="default" r:id="rId20"/>
          <w:pgSz w:w="11906" w:h="16838" w:code="9"/>
          <w:pgMar w:top="142" w:right="232" w:bottom="21" w:left="232" w:header="567" w:footer="0" w:gutter="0"/>
          <w:cols w:space="708"/>
          <w:titlePg/>
          <w:docGrid w:linePitch="360"/>
        </w:sectPr>
      </w:pPr>
    </w:p>
    <w:bookmarkStart w:id="1" w:name="_Toc345583901" w:displacedByCustomXml="next"/>
    <w:bookmarkStart w:id="2" w:name="_Toc345583978" w:displacedByCustomXml="next"/>
    <w:bookmarkStart w:id="3" w:name="_Toc348617111" w:displacedByCustomXml="next"/>
    <w:sdt>
      <w:sdtPr>
        <w:rPr>
          <w:rFonts w:ascii="Calibri" w:eastAsia="Times New Roman" w:hAnsi="Calibri" w:cstheme="minorHAnsi"/>
          <w:b/>
          <w:bCs/>
          <w:i/>
          <w:iCs/>
          <w:caps/>
          <w:sz w:val="20"/>
          <w:szCs w:val="20"/>
          <w:lang w:val="en-GB" w:eastAsia="fr-FR"/>
        </w:rPr>
        <w:id w:val="-1046760254"/>
        <w:docPartObj>
          <w:docPartGallery w:val="Table of Contents"/>
          <w:docPartUnique/>
        </w:docPartObj>
      </w:sdtPr>
      <w:sdtEndPr>
        <w:rPr>
          <w:rFonts w:cs="Calibri"/>
          <w:i w:val="0"/>
          <w:iCs w:val="0"/>
        </w:rPr>
      </w:sdtEndPr>
      <w:sdtContent>
        <w:p w14:paraId="58DC8378" w14:textId="77777777" w:rsidR="00FB38AB" w:rsidRPr="000D4A19" w:rsidRDefault="00FB38AB" w:rsidP="00AC5ECC">
          <w:pPr>
            <w:spacing w:after="0"/>
            <w:ind w:right="423"/>
            <w:jc w:val="center"/>
            <w:rPr>
              <w:rFonts w:eastAsia="Times New Roman"/>
              <w:b/>
              <w:snapToGrid w:val="0"/>
              <w:sz w:val="20"/>
              <w:szCs w:val="20"/>
              <w:lang w:val="en-GB" w:eastAsia="fr-FR"/>
            </w:rPr>
          </w:pPr>
          <w:r w:rsidRPr="000D4A19">
            <w:rPr>
              <w:rFonts w:eastAsia="Times New Roman"/>
              <w:b/>
              <w:snapToGrid w:val="0"/>
              <w:sz w:val="20"/>
              <w:szCs w:val="20"/>
              <w:lang w:val="en-GB" w:eastAsia="fr-FR"/>
            </w:rPr>
            <w:t>TABLE OF CONTENTS</w:t>
          </w:r>
        </w:p>
        <w:p w14:paraId="1EAC8503" w14:textId="77777777" w:rsidR="00FB38AB" w:rsidRPr="000D4A19" w:rsidRDefault="00FB38AB" w:rsidP="00AC5ECC">
          <w:pPr>
            <w:tabs>
              <w:tab w:val="left" w:pos="709"/>
            </w:tabs>
            <w:spacing w:after="0"/>
            <w:jc w:val="center"/>
            <w:rPr>
              <w:rFonts w:cstheme="minorHAnsi"/>
              <w:sz w:val="20"/>
              <w:szCs w:val="20"/>
              <w:lang w:val="en-GB"/>
            </w:rPr>
          </w:pPr>
        </w:p>
        <w:p w14:paraId="02B96E16" w14:textId="70A1D5B6" w:rsidR="00F001AC" w:rsidRDefault="00714ED8">
          <w:pPr>
            <w:pStyle w:val="Sadraj1"/>
            <w:rPr>
              <w:rFonts w:asciiTheme="minorHAnsi" w:eastAsiaTheme="minorEastAsia" w:hAnsiTheme="minorHAnsi" w:cstheme="minorBidi"/>
              <w:b w:val="0"/>
              <w:bCs w:val="0"/>
              <w:caps w:val="0"/>
              <w:noProof/>
              <w:sz w:val="22"/>
              <w:szCs w:val="22"/>
              <w:lang w:val="fr-FR"/>
            </w:rPr>
          </w:pPr>
          <w:r w:rsidRPr="000D4A19">
            <w:rPr>
              <w:rFonts w:asciiTheme="minorHAnsi" w:hAnsiTheme="minorHAnsi" w:cstheme="minorHAnsi"/>
            </w:rPr>
            <w:fldChar w:fldCharType="begin"/>
          </w:r>
          <w:r w:rsidR="00FB38AB" w:rsidRPr="000D4A19">
            <w:rPr>
              <w:rFonts w:asciiTheme="minorHAnsi" w:hAnsiTheme="minorHAnsi" w:cstheme="minorHAnsi"/>
            </w:rPr>
            <w:instrText xml:space="preserve"> TOC \o "1-3" \h \z \u </w:instrText>
          </w:r>
          <w:r w:rsidRPr="000D4A19">
            <w:rPr>
              <w:rFonts w:asciiTheme="minorHAnsi" w:hAnsiTheme="minorHAnsi" w:cstheme="minorHAnsi"/>
            </w:rPr>
            <w:fldChar w:fldCharType="separate"/>
          </w:r>
          <w:hyperlink w:anchor="_Toc25229282" w:history="1">
            <w:r w:rsidR="00F001AC" w:rsidRPr="004A3420">
              <w:rPr>
                <w:rStyle w:val="Hiperveza"/>
                <w:noProof/>
              </w:rPr>
              <w:t>I.</w:t>
            </w:r>
            <w:r w:rsidR="00F001AC">
              <w:rPr>
                <w:rFonts w:asciiTheme="minorHAnsi" w:eastAsiaTheme="minorEastAsia" w:hAnsiTheme="minorHAnsi" w:cstheme="minorBidi"/>
                <w:b w:val="0"/>
                <w:bCs w:val="0"/>
                <w:caps w:val="0"/>
                <w:noProof/>
                <w:sz w:val="22"/>
                <w:szCs w:val="22"/>
                <w:lang w:val="fr-FR"/>
              </w:rPr>
              <w:tab/>
            </w:r>
            <w:r w:rsidR="00F001AC" w:rsidRPr="004A3420">
              <w:rPr>
                <w:rStyle w:val="Hiperveza"/>
                <w:noProof/>
              </w:rPr>
              <w:t>EXECUTIVE SUMMARY</w:t>
            </w:r>
            <w:r w:rsidR="00F001AC">
              <w:rPr>
                <w:noProof/>
                <w:webHidden/>
              </w:rPr>
              <w:tab/>
            </w:r>
            <w:r w:rsidR="00F001AC">
              <w:rPr>
                <w:noProof/>
                <w:webHidden/>
              </w:rPr>
              <w:fldChar w:fldCharType="begin"/>
            </w:r>
            <w:r w:rsidR="00F001AC">
              <w:rPr>
                <w:noProof/>
                <w:webHidden/>
              </w:rPr>
              <w:instrText xml:space="preserve"> PAGEREF _Toc25229282 \h </w:instrText>
            </w:r>
            <w:r w:rsidR="00F001AC">
              <w:rPr>
                <w:noProof/>
                <w:webHidden/>
              </w:rPr>
            </w:r>
            <w:r w:rsidR="00F001AC">
              <w:rPr>
                <w:noProof/>
                <w:webHidden/>
              </w:rPr>
              <w:fldChar w:fldCharType="separate"/>
            </w:r>
            <w:r w:rsidR="00D245DB">
              <w:rPr>
                <w:noProof/>
                <w:webHidden/>
              </w:rPr>
              <w:t>4</w:t>
            </w:r>
            <w:r w:rsidR="00F001AC">
              <w:rPr>
                <w:noProof/>
                <w:webHidden/>
              </w:rPr>
              <w:fldChar w:fldCharType="end"/>
            </w:r>
          </w:hyperlink>
        </w:p>
        <w:p w14:paraId="1EC0F060" w14:textId="1E84C5E0" w:rsidR="00F001AC" w:rsidRDefault="002A4EC4">
          <w:pPr>
            <w:pStyle w:val="Sadraj1"/>
            <w:rPr>
              <w:rFonts w:asciiTheme="minorHAnsi" w:eastAsiaTheme="minorEastAsia" w:hAnsiTheme="minorHAnsi" w:cstheme="minorBidi"/>
              <w:b w:val="0"/>
              <w:bCs w:val="0"/>
              <w:caps w:val="0"/>
              <w:noProof/>
              <w:sz w:val="22"/>
              <w:szCs w:val="22"/>
              <w:lang w:val="fr-FR"/>
            </w:rPr>
          </w:pPr>
          <w:hyperlink w:anchor="_Toc25229283" w:history="1">
            <w:r w:rsidR="00F001AC" w:rsidRPr="004A3420">
              <w:rPr>
                <w:rStyle w:val="Hiperveza"/>
                <w:noProof/>
              </w:rPr>
              <w:t>II.</w:t>
            </w:r>
            <w:r w:rsidR="00F001AC">
              <w:rPr>
                <w:rFonts w:asciiTheme="minorHAnsi" w:eastAsiaTheme="minorEastAsia" w:hAnsiTheme="minorHAnsi" w:cstheme="minorBidi"/>
                <w:b w:val="0"/>
                <w:bCs w:val="0"/>
                <w:caps w:val="0"/>
                <w:noProof/>
                <w:sz w:val="22"/>
                <w:szCs w:val="22"/>
                <w:lang w:val="fr-FR"/>
              </w:rPr>
              <w:tab/>
            </w:r>
            <w:r w:rsidR="00F001AC" w:rsidRPr="004A3420">
              <w:rPr>
                <w:rStyle w:val="Hiperveza"/>
                <w:noProof/>
              </w:rPr>
              <w:t>INTRODUCTION AND METHODOLOGY</w:t>
            </w:r>
            <w:r w:rsidR="00F001AC">
              <w:rPr>
                <w:noProof/>
                <w:webHidden/>
              </w:rPr>
              <w:tab/>
            </w:r>
            <w:r w:rsidR="00F001AC">
              <w:rPr>
                <w:noProof/>
                <w:webHidden/>
              </w:rPr>
              <w:fldChar w:fldCharType="begin"/>
            </w:r>
            <w:r w:rsidR="00F001AC">
              <w:rPr>
                <w:noProof/>
                <w:webHidden/>
              </w:rPr>
              <w:instrText xml:space="preserve"> PAGEREF _Toc25229283 \h </w:instrText>
            </w:r>
            <w:r w:rsidR="00F001AC">
              <w:rPr>
                <w:noProof/>
                <w:webHidden/>
              </w:rPr>
            </w:r>
            <w:r w:rsidR="00F001AC">
              <w:rPr>
                <w:noProof/>
                <w:webHidden/>
              </w:rPr>
              <w:fldChar w:fldCharType="separate"/>
            </w:r>
            <w:r w:rsidR="00D245DB">
              <w:rPr>
                <w:noProof/>
                <w:webHidden/>
              </w:rPr>
              <w:t>5</w:t>
            </w:r>
            <w:r w:rsidR="00F001AC">
              <w:rPr>
                <w:noProof/>
                <w:webHidden/>
              </w:rPr>
              <w:fldChar w:fldCharType="end"/>
            </w:r>
          </w:hyperlink>
        </w:p>
        <w:p w14:paraId="6AD2570F" w14:textId="25FE48C3" w:rsidR="00F001AC" w:rsidRDefault="002A4EC4">
          <w:pPr>
            <w:pStyle w:val="Sadraj1"/>
            <w:rPr>
              <w:rFonts w:asciiTheme="minorHAnsi" w:eastAsiaTheme="minorEastAsia" w:hAnsiTheme="minorHAnsi" w:cstheme="minorBidi"/>
              <w:b w:val="0"/>
              <w:bCs w:val="0"/>
              <w:caps w:val="0"/>
              <w:noProof/>
              <w:sz w:val="22"/>
              <w:szCs w:val="22"/>
              <w:lang w:val="fr-FR"/>
            </w:rPr>
          </w:pPr>
          <w:hyperlink w:anchor="_Toc25229284" w:history="1">
            <w:r w:rsidR="00F001AC" w:rsidRPr="004A3420">
              <w:rPr>
                <w:rStyle w:val="Hiperveza"/>
                <w:rFonts w:cstheme="minorHAnsi"/>
                <w:noProof/>
              </w:rPr>
              <w:t>III.</w:t>
            </w:r>
            <w:r w:rsidR="00F001AC">
              <w:rPr>
                <w:rFonts w:asciiTheme="minorHAnsi" w:eastAsiaTheme="minorEastAsia" w:hAnsiTheme="minorHAnsi" w:cstheme="minorBidi"/>
                <w:b w:val="0"/>
                <w:bCs w:val="0"/>
                <w:caps w:val="0"/>
                <w:noProof/>
                <w:sz w:val="22"/>
                <w:szCs w:val="22"/>
                <w:lang w:val="fr-FR"/>
              </w:rPr>
              <w:tab/>
            </w:r>
            <w:r w:rsidR="00F001AC" w:rsidRPr="004A3420">
              <w:rPr>
                <w:rStyle w:val="Hiperveza"/>
                <w:rFonts w:cstheme="minorHAnsi"/>
                <w:noProof/>
              </w:rPr>
              <w:t>CONTEXT</w:t>
            </w:r>
            <w:r w:rsidR="00F001AC">
              <w:rPr>
                <w:noProof/>
                <w:webHidden/>
              </w:rPr>
              <w:tab/>
            </w:r>
            <w:r w:rsidR="00F001AC">
              <w:rPr>
                <w:noProof/>
                <w:webHidden/>
              </w:rPr>
              <w:fldChar w:fldCharType="begin"/>
            </w:r>
            <w:r w:rsidR="00F001AC">
              <w:rPr>
                <w:noProof/>
                <w:webHidden/>
              </w:rPr>
              <w:instrText xml:space="preserve"> PAGEREF _Toc25229284 \h </w:instrText>
            </w:r>
            <w:r w:rsidR="00F001AC">
              <w:rPr>
                <w:noProof/>
                <w:webHidden/>
              </w:rPr>
            </w:r>
            <w:r w:rsidR="00F001AC">
              <w:rPr>
                <w:noProof/>
                <w:webHidden/>
              </w:rPr>
              <w:fldChar w:fldCharType="separate"/>
            </w:r>
            <w:r w:rsidR="00D245DB">
              <w:rPr>
                <w:noProof/>
                <w:webHidden/>
              </w:rPr>
              <w:t>6</w:t>
            </w:r>
            <w:r w:rsidR="00F001AC">
              <w:rPr>
                <w:noProof/>
                <w:webHidden/>
              </w:rPr>
              <w:fldChar w:fldCharType="end"/>
            </w:r>
          </w:hyperlink>
        </w:p>
        <w:p w14:paraId="2262D688" w14:textId="71819907" w:rsidR="00F001AC" w:rsidRDefault="002A4EC4">
          <w:pPr>
            <w:pStyle w:val="Sadraj1"/>
            <w:rPr>
              <w:rFonts w:asciiTheme="minorHAnsi" w:eastAsiaTheme="minorEastAsia" w:hAnsiTheme="minorHAnsi" w:cstheme="minorBidi"/>
              <w:b w:val="0"/>
              <w:bCs w:val="0"/>
              <w:caps w:val="0"/>
              <w:noProof/>
              <w:sz w:val="22"/>
              <w:szCs w:val="22"/>
              <w:lang w:val="fr-FR"/>
            </w:rPr>
          </w:pPr>
          <w:hyperlink w:anchor="_Toc25229285" w:history="1">
            <w:r w:rsidR="00F001AC" w:rsidRPr="004A3420">
              <w:rPr>
                <w:rStyle w:val="Hiperveza"/>
                <w:rFonts w:cstheme="minorHAnsi"/>
                <w:noProof/>
              </w:rPr>
              <w:t xml:space="preserve">IV. </w:t>
            </w:r>
            <w:r w:rsidR="00F001AC">
              <w:rPr>
                <w:rFonts w:asciiTheme="minorHAnsi" w:eastAsiaTheme="minorEastAsia" w:hAnsiTheme="minorHAnsi" w:cstheme="minorBidi"/>
                <w:b w:val="0"/>
                <w:bCs w:val="0"/>
                <w:caps w:val="0"/>
                <w:noProof/>
                <w:sz w:val="22"/>
                <w:szCs w:val="22"/>
                <w:lang w:val="fr-FR"/>
              </w:rPr>
              <w:tab/>
            </w:r>
            <w:r w:rsidR="00F001AC" w:rsidRPr="004A3420">
              <w:rPr>
                <w:rStyle w:val="Hiperveza"/>
                <w:rFonts w:cstheme="minorHAnsi"/>
                <w:noProof/>
              </w:rPr>
              <w:t>CORRUPTION PREVENTION IN CENTRAL GOVERNMENTS (TOP EXECUTIVE FUNCTIONS)</w:t>
            </w:r>
            <w:r w:rsidR="00F001AC">
              <w:rPr>
                <w:noProof/>
                <w:webHidden/>
              </w:rPr>
              <w:tab/>
            </w:r>
            <w:r w:rsidR="00F001AC">
              <w:rPr>
                <w:noProof/>
                <w:webHidden/>
              </w:rPr>
              <w:fldChar w:fldCharType="begin"/>
            </w:r>
            <w:r w:rsidR="00F001AC">
              <w:rPr>
                <w:noProof/>
                <w:webHidden/>
              </w:rPr>
              <w:instrText xml:space="preserve"> PAGEREF _Toc25229285 \h </w:instrText>
            </w:r>
            <w:r w:rsidR="00F001AC">
              <w:rPr>
                <w:noProof/>
                <w:webHidden/>
              </w:rPr>
            </w:r>
            <w:r w:rsidR="00F001AC">
              <w:rPr>
                <w:noProof/>
                <w:webHidden/>
              </w:rPr>
              <w:fldChar w:fldCharType="separate"/>
            </w:r>
            <w:r w:rsidR="00D245DB">
              <w:rPr>
                <w:noProof/>
                <w:webHidden/>
              </w:rPr>
              <w:t>8</w:t>
            </w:r>
            <w:r w:rsidR="00F001AC">
              <w:rPr>
                <w:noProof/>
                <w:webHidden/>
              </w:rPr>
              <w:fldChar w:fldCharType="end"/>
            </w:r>
          </w:hyperlink>
        </w:p>
        <w:p w14:paraId="44CCF174" w14:textId="4AF17364" w:rsidR="00F001AC" w:rsidRDefault="002A4EC4">
          <w:pPr>
            <w:pStyle w:val="Sadraj2"/>
            <w:rPr>
              <w:rFonts w:asciiTheme="minorHAnsi" w:eastAsiaTheme="minorEastAsia" w:hAnsiTheme="minorHAnsi" w:cstheme="minorBidi"/>
              <w:smallCaps w:val="0"/>
              <w:noProof/>
              <w:sz w:val="22"/>
              <w:szCs w:val="22"/>
              <w:lang w:val="fr-FR"/>
            </w:rPr>
          </w:pPr>
          <w:hyperlink w:anchor="_Toc25229286" w:history="1">
            <w:r w:rsidR="00F001AC" w:rsidRPr="004A3420">
              <w:rPr>
                <w:rStyle w:val="Hiperveza"/>
                <w:noProof/>
              </w:rPr>
              <w:t>System of government and top executive functions</w:t>
            </w:r>
            <w:r w:rsidR="00F001AC">
              <w:rPr>
                <w:noProof/>
                <w:webHidden/>
              </w:rPr>
              <w:tab/>
            </w:r>
            <w:r w:rsidR="00F001AC">
              <w:rPr>
                <w:noProof/>
                <w:webHidden/>
              </w:rPr>
              <w:fldChar w:fldCharType="begin"/>
            </w:r>
            <w:r w:rsidR="00F001AC">
              <w:rPr>
                <w:noProof/>
                <w:webHidden/>
              </w:rPr>
              <w:instrText xml:space="preserve"> PAGEREF _Toc25229286 \h </w:instrText>
            </w:r>
            <w:r w:rsidR="00F001AC">
              <w:rPr>
                <w:noProof/>
                <w:webHidden/>
              </w:rPr>
            </w:r>
            <w:r w:rsidR="00F001AC">
              <w:rPr>
                <w:noProof/>
                <w:webHidden/>
              </w:rPr>
              <w:fldChar w:fldCharType="separate"/>
            </w:r>
            <w:r w:rsidR="00D245DB">
              <w:rPr>
                <w:noProof/>
                <w:webHidden/>
              </w:rPr>
              <w:t>8</w:t>
            </w:r>
            <w:r w:rsidR="00F001AC">
              <w:rPr>
                <w:noProof/>
                <w:webHidden/>
              </w:rPr>
              <w:fldChar w:fldCharType="end"/>
            </w:r>
          </w:hyperlink>
        </w:p>
        <w:p w14:paraId="0557C503" w14:textId="575B50D5" w:rsidR="00F001AC" w:rsidRDefault="002A4EC4">
          <w:pPr>
            <w:pStyle w:val="Sadraj3"/>
            <w:rPr>
              <w:rFonts w:asciiTheme="minorHAnsi" w:eastAsiaTheme="minorEastAsia" w:hAnsiTheme="minorHAnsi" w:cstheme="minorBidi"/>
              <w:i w:val="0"/>
              <w:iCs w:val="0"/>
              <w:sz w:val="22"/>
              <w:szCs w:val="22"/>
              <w:lang w:val="fr-FR"/>
            </w:rPr>
          </w:pPr>
          <w:hyperlink w:anchor="_Toc25229287" w:history="1">
            <w:r w:rsidR="00F001AC" w:rsidRPr="004A3420">
              <w:rPr>
                <w:rStyle w:val="Hiperveza"/>
              </w:rPr>
              <w:t>The President</w:t>
            </w:r>
            <w:r w:rsidR="00F001AC">
              <w:rPr>
                <w:webHidden/>
              </w:rPr>
              <w:tab/>
            </w:r>
            <w:r w:rsidR="00F001AC">
              <w:rPr>
                <w:webHidden/>
              </w:rPr>
              <w:fldChar w:fldCharType="begin"/>
            </w:r>
            <w:r w:rsidR="00F001AC">
              <w:rPr>
                <w:webHidden/>
              </w:rPr>
              <w:instrText xml:space="preserve"> PAGEREF _Toc25229287 \h </w:instrText>
            </w:r>
            <w:r w:rsidR="00F001AC">
              <w:rPr>
                <w:webHidden/>
              </w:rPr>
            </w:r>
            <w:r w:rsidR="00F001AC">
              <w:rPr>
                <w:webHidden/>
              </w:rPr>
              <w:fldChar w:fldCharType="separate"/>
            </w:r>
            <w:r w:rsidR="00D245DB">
              <w:rPr>
                <w:webHidden/>
              </w:rPr>
              <w:t>8</w:t>
            </w:r>
            <w:r w:rsidR="00F001AC">
              <w:rPr>
                <w:webHidden/>
              </w:rPr>
              <w:fldChar w:fldCharType="end"/>
            </w:r>
          </w:hyperlink>
        </w:p>
        <w:p w14:paraId="132DBDB6" w14:textId="4E3321A0" w:rsidR="00F001AC" w:rsidRDefault="002A4EC4">
          <w:pPr>
            <w:pStyle w:val="Sadraj3"/>
            <w:rPr>
              <w:rFonts w:asciiTheme="minorHAnsi" w:eastAsiaTheme="minorEastAsia" w:hAnsiTheme="minorHAnsi" w:cstheme="minorBidi"/>
              <w:i w:val="0"/>
              <w:iCs w:val="0"/>
              <w:sz w:val="22"/>
              <w:szCs w:val="22"/>
              <w:lang w:val="fr-FR"/>
            </w:rPr>
          </w:pPr>
          <w:hyperlink w:anchor="_Toc25229288" w:history="1">
            <w:r w:rsidR="00F001AC" w:rsidRPr="004A3420">
              <w:rPr>
                <w:rStyle w:val="Hiperveza"/>
              </w:rPr>
              <w:t>The government</w:t>
            </w:r>
            <w:r w:rsidR="00F001AC">
              <w:rPr>
                <w:webHidden/>
              </w:rPr>
              <w:tab/>
            </w:r>
            <w:r w:rsidR="00F001AC">
              <w:rPr>
                <w:webHidden/>
              </w:rPr>
              <w:fldChar w:fldCharType="begin"/>
            </w:r>
            <w:r w:rsidR="00F001AC">
              <w:rPr>
                <w:webHidden/>
              </w:rPr>
              <w:instrText xml:space="preserve"> PAGEREF _Toc25229288 \h </w:instrText>
            </w:r>
            <w:r w:rsidR="00F001AC">
              <w:rPr>
                <w:webHidden/>
              </w:rPr>
            </w:r>
            <w:r w:rsidR="00F001AC">
              <w:rPr>
                <w:webHidden/>
              </w:rPr>
              <w:fldChar w:fldCharType="separate"/>
            </w:r>
            <w:r w:rsidR="00D245DB">
              <w:rPr>
                <w:webHidden/>
              </w:rPr>
              <w:t>9</w:t>
            </w:r>
            <w:r w:rsidR="00F001AC">
              <w:rPr>
                <w:webHidden/>
              </w:rPr>
              <w:fldChar w:fldCharType="end"/>
            </w:r>
          </w:hyperlink>
        </w:p>
        <w:p w14:paraId="5CD3BCBE" w14:textId="046AFFAA" w:rsidR="00F001AC" w:rsidRDefault="002A4EC4">
          <w:pPr>
            <w:pStyle w:val="Sadraj3"/>
            <w:rPr>
              <w:rFonts w:asciiTheme="minorHAnsi" w:eastAsiaTheme="minorEastAsia" w:hAnsiTheme="minorHAnsi" w:cstheme="minorBidi"/>
              <w:i w:val="0"/>
              <w:iCs w:val="0"/>
              <w:sz w:val="22"/>
              <w:szCs w:val="22"/>
              <w:lang w:val="fr-FR"/>
            </w:rPr>
          </w:pPr>
          <w:hyperlink w:anchor="_Toc25229289" w:history="1">
            <w:r w:rsidR="00F001AC" w:rsidRPr="004A3420">
              <w:rPr>
                <w:rStyle w:val="Hiperveza"/>
              </w:rPr>
              <w:t>Governmental appointees in executive functions</w:t>
            </w:r>
            <w:r w:rsidR="00F001AC">
              <w:rPr>
                <w:webHidden/>
              </w:rPr>
              <w:tab/>
            </w:r>
            <w:r w:rsidR="00F001AC">
              <w:rPr>
                <w:webHidden/>
              </w:rPr>
              <w:fldChar w:fldCharType="begin"/>
            </w:r>
            <w:r w:rsidR="00F001AC">
              <w:rPr>
                <w:webHidden/>
              </w:rPr>
              <w:instrText xml:space="preserve"> PAGEREF _Toc25229289 \h </w:instrText>
            </w:r>
            <w:r w:rsidR="00F001AC">
              <w:rPr>
                <w:webHidden/>
              </w:rPr>
            </w:r>
            <w:r w:rsidR="00F001AC">
              <w:rPr>
                <w:webHidden/>
              </w:rPr>
              <w:fldChar w:fldCharType="separate"/>
            </w:r>
            <w:r w:rsidR="00D245DB">
              <w:rPr>
                <w:webHidden/>
              </w:rPr>
              <w:t>10</w:t>
            </w:r>
            <w:r w:rsidR="00F001AC">
              <w:rPr>
                <w:webHidden/>
              </w:rPr>
              <w:fldChar w:fldCharType="end"/>
            </w:r>
          </w:hyperlink>
        </w:p>
        <w:p w14:paraId="41FCA5C2" w14:textId="23E1E83E" w:rsidR="00F001AC" w:rsidRDefault="002A4EC4">
          <w:pPr>
            <w:pStyle w:val="Sadraj3"/>
            <w:rPr>
              <w:rFonts w:asciiTheme="minorHAnsi" w:eastAsiaTheme="minorEastAsia" w:hAnsiTheme="minorHAnsi" w:cstheme="minorBidi"/>
              <w:i w:val="0"/>
              <w:iCs w:val="0"/>
              <w:sz w:val="22"/>
              <w:szCs w:val="22"/>
              <w:lang w:val="fr-FR"/>
            </w:rPr>
          </w:pPr>
          <w:hyperlink w:anchor="_Toc25229290" w:history="1">
            <w:r w:rsidR="00F001AC" w:rsidRPr="004A3420">
              <w:rPr>
                <w:rStyle w:val="Hiperveza"/>
              </w:rPr>
              <w:t>Status and remuneration of persons with top executive functions</w:t>
            </w:r>
            <w:r w:rsidR="00F001AC">
              <w:rPr>
                <w:webHidden/>
              </w:rPr>
              <w:tab/>
            </w:r>
            <w:r w:rsidR="00F001AC">
              <w:rPr>
                <w:webHidden/>
              </w:rPr>
              <w:fldChar w:fldCharType="begin"/>
            </w:r>
            <w:r w:rsidR="00F001AC">
              <w:rPr>
                <w:webHidden/>
              </w:rPr>
              <w:instrText xml:space="preserve"> PAGEREF _Toc25229290 \h </w:instrText>
            </w:r>
            <w:r w:rsidR="00F001AC">
              <w:rPr>
                <w:webHidden/>
              </w:rPr>
            </w:r>
            <w:r w:rsidR="00F001AC">
              <w:rPr>
                <w:webHidden/>
              </w:rPr>
              <w:fldChar w:fldCharType="separate"/>
            </w:r>
            <w:r w:rsidR="00D245DB">
              <w:rPr>
                <w:webHidden/>
              </w:rPr>
              <w:t>12</w:t>
            </w:r>
            <w:r w:rsidR="00F001AC">
              <w:rPr>
                <w:webHidden/>
              </w:rPr>
              <w:fldChar w:fldCharType="end"/>
            </w:r>
          </w:hyperlink>
        </w:p>
        <w:p w14:paraId="146FCA10" w14:textId="15DC6F15" w:rsidR="00F001AC" w:rsidRDefault="002A4EC4">
          <w:pPr>
            <w:pStyle w:val="Sadraj2"/>
            <w:rPr>
              <w:rFonts w:asciiTheme="minorHAnsi" w:eastAsiaTheme="minorEastAsia" w:hAnsiTheme="minorHAnsi" w:cstheme="minorBidi"/>
              <w:smallCaps w:val="0"/>
              <w:noProof/>
              <w:sz w:val="22"/>
              <w:szCs w:val="22"/>
              <w:lang w:val="fr-FR"/>
            </w:rPr>
          </w:pPr>
          <w:hyperlink w:anchor="_Toc25229291" w:history="1">
            <w:r w:rsidR="00F001AC" w:rsidRPr="004A3420">
              <w:rPr>
                <w:rStyle w:val="Hiperveza"/>
                <w:noProof/>
              </w:rPr>
              <w:t>Anticorruption and integrity policy, regulatory and institutional framework</w:t>
            </w:r>
            <w:r w:rsidR="00F001AC">
              <w:rPr>
                <w:noProof/>
                <w:webHidden/>
              </w:rPr>
              <w:tab/>
            </w:r>
            <w:r w:rsidR="00F001AC">
              <w:rPr>
                <w:noProof/>
                <w:webHidden/>
              </w:rPr>
              <w:fldChar w:fldCharType="begin"/>
            </w:r>
            <w:r w:rsidR="00F001AC">
              <w:rPr>
                <w:noProof/>
                <w:webHidden/>
              </w:rPr>
              <w:instrText xml:space="preserve"> PAGEREF _Toc25229291 \h </w:instrText>
            </w:r>
            <w:r w:rsidR="00F001AC">
              <w:rPr>
                <w:noProof/>
                <w:webHidden/>
              </w:rPr>
            </w:r>
            <w:r w:rsidR="00F001AC">
              <w:rPr>
                <w:noProof/>
                <w:webHidden/>
              </w:rPr>
              <w:fldChar w:fldCharType="separate"/>
            </w:r>
            <w:r w:rsidR="00D245DB">
              <w:rPr>
                <w:noProof/>
                <w:webHidden/>
              </w:rPr>
              <w:t>13</w:t>
            </w:r>
            <w:r w:rsidR="00F001AC">
              <w:rPr>
                <w:noProof/>
                <w:webHidden/>
              </w:rPr>
              <w:fldChar w:fldCharType="end"/>
            </w:r>
          </w:hyperlink>
        </w:p>
        <w:p w14:paraId="1FA77F56" w14:textId="4DFB9D0C" w:rsidR="00F001AC" w:rsidRDefault="002A4EC4">
          <w:pPr>
            <w:pStyle w:val="Sadraj3"/>
            <w:rPr>
              <w:rFonts w:asciiTheme="minorHAnsi" w:eastAsiaTheme="minorEastAsia" w:hAnsiTheme="minorHAnsi" w:cstheme="minorBidi"/>
              <w:i w:val="0"/>
              <w:iCs w:val="0"/>
              <w:sz w:val="22"/>
              <w:szCs w:val="22"/>
              <w:lang w:val="fr-FR"/>
            </w:rPr>
          </w:pPr>
          <w:hyperlink w:anchor="_Toc25229292" w:history="1">
            <w:r w:rsidR="00F001AC" w:rsidRPr="004A3420">
              <w:rPr>
                <w:rStyle w:val="Hiperveza"/>
              </w:rPr>
              <w:t>Anticorruption and integrity policy</w:t>
            </w:r>
            <w:r w:rsidR="00F001AC">
              <w:rPr>
                <w:webHidden/>
              </w:rPr>
              <w:tab/>
            </w:r>
            <w:r w:rsidR="00F001AC">
              <w:rPr>
                <w:webHidden/>
              </w:rPr>
              <w:fldChar w:fldCharType="begin"/>
            </w:r>
            <w:r w:rsidR="00F001AC">
              <w:rPr>
                <w:webHidden/>
              </w:rPr>
              <w:instrText xml:space="preserve"> PAGEREF _Toc25229292 \h </w:instrText>
            </w:r>
            <w:r w:rsidR="00F001AC">
              <w:rPr>
                <w:webHidden/>
              </w:rPr>
            </w:r>
            <w:r w:rsidR="00F001AC">
              <w:rPr>
                <w:webHidden/>
              </w:rPr>
              <w:fldChar w:fldCharType="separate"/>
            </w:r>
            <w:r w:rsidR="00D245DB">
              <w:rPr>
                <w:webHidden/>
              </w:rPr>
              <w:t>13</w:t>
            </w:r>
            <w:r w:rsidR="00F001AC">
              <w:rPr>
                <w:webHidden/>
              </w:rPr>
              <w:fldChar w:fldCharType="end"/>
            </w:r>
          </w:hyperlink>
        </w:p>
        <w:p w14:paraId="77CCD091" w14:textId="7D795DB5" w:rsidR="00F001AC" w:rsidRDefault="002A4EC4">
          <w:pPr>
            <w:pStyle w:val="Sadraj3"/>
            <w:rPr>
              <w:rFonts w:asciiTheme="minorHAnsi" w:eastAsiaTheme="minorEastAsia" w:hAnsiTheme="minorHAnsi" w:cstheme="minorBidi"/>
              <w:i w:val="0"/>
              <w:iCs w:val="0"/>
              <w:sz w:val="22"/>
              <w:szCs w:val="22"/>
              <w:lang w:val="fr-FR"/>
            </w:rPr>
          </w:pPr>
          <w:hyperlink w:anchor="_Toc25229293" w:history="1">
            <w:r w:rsidR="00F001AC" w:rsidRPr="004A3420">
              <w:rPr>
                <w:rStyle w:val="Hiperveza"/>
              </w:rPr>
              <w:t>Legal framework</w:t>
            </w:r>
            <w:r w:rsidR="00F001AC">
              <w:rPr>
                <w:webHidden/>
              </w:rPr>
              <w:tab/>
            </w:r>
            <w:r w:rsidR="00F001AC">
              <w:rPr>
                <w:webHidden/>
              </w:rPr>
              <w:fldChar w:fldCharType="begin"/>
            </w:r>
            <w:r w:rsidR="00F001AC">
              <w:rPr>
                <w:webHidden/>
              </w:rPr>
              <w:instrText xml:space="preserve"> PAGEREF _Toc25229293 \h </w:instrText>
            </w:r>
            <w:r w:rsidR="00F001AC">
              <w:rPr>
                <w:webHidden/>
              </w:rPr>
            </w:r>
            <w:r w:rsidR="00F001AC">
              <w:rPr>
                <w:webHidden/>
              </w:rPr>
              <w:fldChar w:fldCharType="separate"/>
            </w:r>
            <w:r w:rsidR="00D245DB">
              <w:rPr>
                <w:webHidden/>
              </w:rPr>
              <w:t>14</w:t>
            </w:r>
            <w:r w:rsidR="00F001AC">
              <w:rPr>
                <w:webHidden/>
              </w:rPr>
              <w:fldChar w:fldCharType="end"/>
            </w:r>
          </w:hyperlink>
        </w:p>
        <w:p w14:paraId="076A5213" w14:textId="1D0BE70A" w:rsidR="00F001AC" w:rsidRDefault="002A4EC4">
          <w:pPr>
            <w:pStyle w:val="Sadraj3"/>
            <w:rPr>
              <w:rFonts w:asciiTheme="minorHAnsi" w:eastAsiaTheme="minorEastAsia" w:hAnsiTheme="minorHAnsi" w:cstheme="minorBidi"/>
              <w:i w:val="0"/>
              <w:iCs w:val="0"/>
              <w:sz w:val="22"/>
              <w:szCs w:val="22"/>
              <w:lang w:val="fr-FR"/>
            </w:rPr>
          </w:pPr>
          <w:hyperlink w:anchor="_Toc25229294" w:history="1">
            <w:r w:rsidR="00F001AC" w:rsidRPr="004A3420">
              <w:rPr>
                <w:rStyle w:val="Hiperveza"/>
              </w:rPr>
              <w:t>Ethical principles and rules of conduct</w:t>
            </w:r>
            <w:r w:rsidR="00F001AC">
              <w:rPr>
                <w:webHidden/>
              </w:rPr>
              <w:tab/>
            </w:r>
            <w:r w:rsidR="00F001AC">
              <w:rPr>
                <w:webHidden/>
              </w:rPr>
              <w:fldChar w:fldCharType="begin"/>
            </w:r>
            <w:r w:rsidR="00F001AC">
              <w:rPr>
                <w:webHidden/>
              </w:rPr>
              <w:instrText xml:space="preserve"> PAGEREF _Toc25229294 \h </w:instrText>
            </w:r>
            <w:r w:rsidR="00F001AC">
              <w:rPr>
                <w:webHidden/>
              </w:rPr>
            </w:r>
            <w:r w:rsidR="00F001AC">
              <w:rPr>
                <w:webHidden/>
              </w:rPr>
              <w:fldChar w:fldCharType="separate"/>
            </w:r>
            <w:r w:rsidR="00D245DB">
              <w:rPr>
                <w:webHidden/>
              </w:rPr>
              <w:t>15</w:t>
            </w:r>
            <w:r w:rsidR="00F001AC">
              <w:rPr>
                <w:webHidden/>
              </w:rPr>
              <w:fldChar w:fldCharType="end"/>
            </w:r>
          </w:hyperlink>
        </w:p>
        <w:p w14:paraId="14DB5F13" w14:textId="7C03A073" w:rsidR="00F001AC" w:rsidRDefault="002A4EC4">
          <w:pPr>
            <w:pStyle w:val="Sadraj3"/>
            <w:rPr>
              <w:rFonts w:asciiTheme="minorHAnsi" w:eastAsiaTheme="minorEastAsia" w:hAnsiTheme="minorHAnsi" w:cstheme="minorBidi"/>
              <w:i w:val="0"/>
              <w:iCs w:val="0"/>
              <w:sz w:val="22"/>
              <w:szCs w:val="22"/>
              <w:lang w:val="fr-FR"/>
            </w:rPr>
          </w:pPr>
          <w:hyperlink w:anchor="_Toc25229295" w:history="1">
            <w:r w:rsidR="00F001AC" w:rsidRPr="004A3420">
              <w:rPr>
                <w:rStyle w:val="Hiperveza"/>
              </w:rPr>
              <w:t>Institutional framework</w:t>
            </w:r>
            <w:r w:rsidR="00F001AC">
              <w:rPr>
                <w:webHidden/>
              </w:rPr>
              <w:tab/>
            </w:r>
            <w:r w:rsidR="00F001AC">
              <w:rPr>
                <w:webHidden/>
              </w:rPr>
              <w:fldChar w:fldCharType="begin"/>
            </w:r>
            <w:r w:rsidR="00F001AC">
              <w:rPr>
                <w:webHidden/>
              </w:rPr>
              <w:instrText xml:space="preserve"> PAGEREF _Toc25229295 \h </w:instrText>
            </w:r>
            <w:r w:rsidR="00F001AC">
              <w:rPr>
                <w:webHidden/>
              </w:rPr>
            </w:r>
            <w:r w:rsidR="00F001AC">
              <w:rPr>
                <w:webHidden/>
              </w:rPr>
              <w:fldChar w:fldCharType="separate"/>
            </w:r>
            <w:r w:rsidR="00D245DB">
              <w:rPr>
                <w:webHidden/>
              </w:rPr>
              <w:t>16</w:t>
            </w:r>
            <w:r w:rsidR="00F001AC">
              <w:rPr>
                <w:webHidden/>
              </w:rPr>
              <w:fldChar w:fldCharType="end"/>
            </w:r>
          </w:hyperlink>
        </w:p>
        <w:p w14:paraId="3EDB09E9" w14:textId="54E67181" w:rsidR="00F001AC" w:rsidRDefault="002A4EC4">
          <w:pPr>
            <w:pStyle w:val="Sadraj3"/>
            <w:rPr>
              <w:rFonts w:asciiTheme="minorHAnsi" w:eastAsiaTheme="minorEastAsia" w:hAnsiTheme="minorHAnsi" w:cstheme="minorBidi"/>
              <w:i w:val="0"/>
              <w:iCs w:val="0"/>
              <w:sz w:val="22"/>
              <w:szCs w:val="22"/>
              <w:lang w:val="fr-FR"/>
            </w:rPr>
          </w:pPr>
          <w:hyperlink w:anchor="_Toc25229296" w:history="1">
            <w:r w:rsidR="00F001AC" w:rsidRPr="004A3420">
              <w:rPr>
                <w:rStyle w:val="Hiperveza"/>
              </w:rPr>
              <w:t>Awareness</w:t>
            </w:r>
            <w:r w:rsidR="00F001AC">
              <w:rPr>
                <w:webHidden/>
              </w:rPr>
              <w:tab/>
            </w:r>
            <w:r w:rsidR="00F001AC">
              <w:rPr>
                <w:webHidden/>
              </w:rPr>
              <w:fldChar w:fldCharType="begin"/>
            </w:r>
            <w:r w:rsidR="00F001AC">
              <w:rPr>
                <w:webHidden/>
              </w:rPr>
              <w:instrText xml:space="preserve"> PAGEREF _Toc25229296 \h </w:instrText>
            </w:r>
            <w:r w:rsidR="00F001AC">
              <w:rPr>
                <w:webHidden/>
              </w:rPr>
            </w:r>
            <w:r w:rsidR="00F001AC">
              <w:rPr>
                <w:webHidden/>
              </w:rPr>
              <w:fldChar w:fldCharType="separate"/>
            </w:r>
            <w:r w:rsidR="00D245DB">
              <w:rPr>
                <w:webHidden/>
              </w:rPr>
              <w:t>16</w:t>
            </w:r>
            <w:r w:rsidR="00F001AC">
              <w:rPr>
                <w:webHidden/>
              </w:rPr>
              <w:fldChar w:fldCharType="end"/>
            </w:r>
          </w:hyperlink>
        </w:p>
        <w:p w14:paraId="7417F759" w14:textId="2C35B09D" w:rsidR="00F001AC" w:rsidRDefault="002A4EC4">
          <w:pPr>
            <w:pStyle w:val="Sadraj2"/>
            <w:rPr>
              <w:rFonts w:asciiTheme="minorHAnsi" w:eastAsiaTheme="minorEastAsia" w:hAnsiTheme="minorHAnsi" w:cstheme="minorBidi"/>
              <w:smallCaps w:val="0"/>
              <w:noProof/>
              <w:sz w:val="22"/>
              <w:szCs w:val="22"/>
              <w:lang w:val="fr-FR"/>
            </w:rPr>
          </w:pPr>
          <w:hyperlink w:anchor="_Toc25229297" w:history="1">
            <w:r w:rsidR="00F001AC" w:rsidRPr="004A3420">
              <w:rPr>
                <w:rStyle w:val="Hiperveza"/>
                <w:noProof/>
              </w:rPr>
              <w:t>Transparency and oversight of executive activities of central government</w:t>
            </w:r>
            <w:r w:rsidR="00F001AC">
              <w:rPr>
                <w:noProof/>
                <w:webHidden/>
              </w:rPr>
              <w:tab/>
            </w:r>
            <w:r w:rsidR="00F001AC">
              <w:rPr>
                <w:noProof/>
                <w:webHidden/>
              </w:rPr>
              <w:fldChar w:fldCharType="begin"/>
            </w:r>
            <w:r w:rsidR="00F001AC">
              <w:rPr>
                <w:noProof/>
                <w:webHidden/>
              </w:rPr>
              <w:instrText xml:space="preserve"> PAGEREF _Toc25229297 \h </w:instrText>
            </w:r>
            <w:r w:rsidR="00F001AC">
              <w:rPr>
                <w:noProof/>
                <w:webHidden/>
              </w:rPr>
            </w:r>
            <w:r w:rsidR="00F001AC">
              <w:rPr>
                <w:noProof/>
                <w:webHidden/>
              </w:rPr>
              <w:fldChar w:fldCharType="separate"/>
            </w:r>
            <w:r w:rsidR="00D245DB">
              <w:rPr>
                <w:noProof/>
                <w:webHidden/>
              </w:rPr>
              <w:t>17</w:t>
            </w:r>
            <w:r w:rsidR="00F001AC">
              <w:rPr>
                <w:noProof/>
                <w:webHidden/>
              </w:rPr>
              <w:fldChar w:fldCharType="end"/>
            </w:r>
          </w:hyperlink>
        </w:p>
        <w:p w14:paraId="56790B04" w14:textId="2AE364B8" w:rsidR="00F001AC" w:rsidRDefault="002A4EC4">
          <w:pPr>
            <w:pStyle w:val="Sadraj3"/>
            <w:rPr>
              <w:rFonts w:asciiTheme="minorHAnsi" w:eastAsiaTheme="minorEastAsia" w:hAnsiTheme="minorHAnsi" w:cstheme="minorBidi"/>
              <w:i w:val="0"/>
              <w:iCs w:val="0"/>
              <w:sz w:val="22"/>
              <w:szCs w:val="22"/>
              <w:lang w:val="fr-FR"/>
            </w:rPr>
          </w:pPr>
          <w:hyperlink w:anchor="_Toc25229298" w:history="1">
            <w:r w:rsidR="00F001AC" w:rsidRPr="004A3420">
              <w:rPr>
                <w:rStyle w:val="Hiperveza"/>
              </w:rPr>
              <w:t>Access to information</w:t>
            </w:r>
            <w:r w:rsidR="00F001AC">
              <w:rPr>
                <w:webHidden/>
              </w:rPr>
              <w:tab/>
            </w:r>
            <w:r w:rsidR="00F001AC">
              <w:rPr>
                <w:webHidden/>
              </w:rPr>
              <w:fldChar w:fldCharType="begin"/>
            </w:r>
            <w:r w:rsidR="00F001AC">
              <w:rPr>
                <w:webHidden/>
              </w:rPr>
              <w:instrText xml:space="preserve"> PAGEREF _Toc25229298 \h </w:instrText>
            </w:r>
            <w:r w:rsidR="00F001AC">
              <w:rPr>
                <w:webHidden/>
              </w:rPr>
            </w:r>
            <w:r w:rsidR="00F001AC">
              <w:rPr>
                <w:webHidden/>
              </w:rPr>
              <w:fldChar w:fldCharType="separate"/>
            </w:r>
            <w:r w:rsidR="00D245DB">
              <w:rPr>
                <w:webHidden/>
              </w:rPr>
              <w:t>17</w:t>
            </w:r>
            <w:r w:rsidR="00F001AC">
              <w:rPr>
                <w:webHidden/>
              </w:rPr>
              <w:fldChar w:fldCharType="end"/>
            </w:r>
          </w:hyperlink>
        </w:p>
        <w:p w14:paraId="7CA871B0" w14:textId="10D82053" w:rsidR="00F001AC" w:rsidRDefault="002A4EC4">
          <w:pPr>
            <w:pStyle w:val="Sadraj3"/>
            <w:rPr>
              <w:rFonts w:asciiTheme="minorHAnsi" w:eastAsiaTheme="minorEastAsia" w:hAnsiTheme="minorHAnsi" w:cstheme="minorBidi"/>
              <w:i w:val="0"/>
              <w:iCs w:val="0"/>
              <w:sz w:val="22"/>
              <w:szCs w:val="22"/>
              <w:lang w:val="fr-FR"/>
            </w:rPr>
          </w:pPr>
          <w:hyperlink w:anchor="_Toc25229299" w:history="1">
            <w:r w:rsidR="00F001AC" w:rsidRPr="004A3420">
              <w:rPr>
                <w:rStyle w:val="Hiperveza"/>
              </w:rPr>
              <w:t>Transparency of the law-making process</w:t>
            </w:r>
            <w:r w:rsidR="00F001AC">
              <w:rPr>
                <w:webHidden/>
              </w:rPr>
              <w:tab/>
            </w:r>
            <w:r w:rsidR="00F001AC">
              <w:rPr>
                <w:webHidden/>
              </w:rPr>
              <w:fldChar w:fldCharType="begin"/>
            </w:r>
            <w:r w:rsidR="00F001AC">
              <w:rPr>
                <w:webHidden/>
              </w:rPr>
              <w:instrText xml:space="preserve"> PAGEREF _Toc25229299 \h </w:instrText>
            </w:r>
            <w:r w:rsidR="00F001AC">
              <w:rPr>
                <w:webHidden/>
              </w:rPr>
            </w:r>
            <w:r w:rsidR="00F001AC">
              <w:rPr>
                <w:webHidden/>
              </w:rPr>
              <w:fldChar w:fldCharType="separate"/>
            </w:r>
            <w:r w:rsidR="00D245DB">
              <w:rPr>
                <w:webHidden/>
              </w:rPr>
              <w:t>19</w:t>
            </w:r>
            <w:r w:rsidR="00F001AC">
              <w:rPr>
                <w:webHidden/>
              </w:rPr>
              <w:fldChar w:fldCharType="end"/>
            </w:r>
          </w:hyperlink>
        </w:p>
        <w:p w14:paraId="651E79F3" w14:textId="4380B2EF" w:rsidR="00F001AC" w:rsidRDefault="002A4EC4">
          <w:pPr>
            <w:pStyle w:val="Sadraj3"/>
            <w:rPr>
              <w:rFonts w:asciiTheme="minorHAnsi" w:eastAsiaTheme="minorEastAsia" w:hAnsiTheme="minorHAnsi" w:cstheme="minorBidi"/>
              <w:i w:val="0"/>
              <w:iCs w:val="0"/>
              <w:sz w:val="22"/>
              <w:szCs w:val="22"/>
              <w:lang w:val="fr-FR"/>
            </w:rPr>
          </w:pPr>
          <w:hyperlink w:anchor="_Toc25229300" w:history="1">
            <w:r w:rsidR="00F001AC" w:rsidRPr="004A3420">
              <w:rPr>
                <w:rStyle w:val="Hiperveza"/>
              </w:rPr>
              <w:t>Third parties and lobbyists</w:t>
            </w:r>
            <w:r w:rsidR="00F001AC">
              <w:rPr>
                <w:webHidden/>
              </w:rPr>
              <w:tab/>
            </w:r>
            <w:r w:rsidR="00F001AC">
              <w:rPr>
                <w:webHidden/>
              </w:rPr>
              <w:fldChar w:fldCharType="begin"/>
            </w:r>
            <w:r w:rsidR="00F001AC">
              <w:rPr>
                <w:webHidden/>
              </w:rPr>
              <w:instrText xml:space="preserve"> PAGEREF _Toc25229300 \h </w:instrText>
            </w:r>
            <w:r w:rsidR="00F001AC">
              <w:rPr>
                <w:webHidden/>
              </w:rPr>
            </w:r>
            <w:r w:rsidR="00F001AC">
              <w:rPr>
                <w:webHidden/>
              </w:rPr>
              <w:fldChar w:fldCharType="separate"/>
            </w:r>
            <w:r w:rsidR="00D245DB">
              <w:rPr>
                <w:webHidden/>
              </w:rPr>
              <w:t>19</w:t>
            </w:r>
            <w:r w:rsidR="00F001AC">
              <w:rPr>
                <w:webHidden/>
              </w:rPr>
              <w:fldChar w:fldCharType="end"/>
            </w:r>
          </w:hyperlink>
        </w:p>
        <w:p w14:paraId="5D3959C9" w14:textId="099A4983" w:rsidR="00F001AC" w:rsidRDefault="002A4EC4">
          <w:pPr>
            <w:pStyle w:val="Sadraj3"/>
            <w:rPr>
              <w:rFonts w:asciiTheme="minorHAnsi" w:eastAsiaTheme="minorEastAsia" w:hAnsiTheme="minorHAnsi" w:cstheme="minorBidi"/>
              <w:i w:val="0"/>
              <w:iCs w:val="0"/>
              <w:sz w:val="22"/>
              <w:szCs w:val="22"/>
              <w:lang w:val="fr-FR"/>
            </w:rPr>
          </w:pPr>
          <w:hyperlink w:anchor="_Toc25229301" w:history="1">
            <w:r w:rsidR="00F001AC" w:rsidRPr="004A3420">
              <w:rPr>
                <w:rStyle w:val="Hiperveza"/>
              </w:rPr>
              <w:t>Control mechanisms</w:t>
            </w:r>
            <w:r w:rsidR="00F001AC">
              <w:rPr>
                <w:webHidden/>
              </w:rPr>
              <w:tab/>
            </w:r>
            <w:r w:rsidR="00F001AC">
              <w:rPr>
                <w:webHidden/>
              </w:rPr>
              <w:fldChar w:fldCharType="begin"/>
            </w:r>
            <w:r w:rsidR="00F001AC">
              <w:rPr>
                <w:webHidden/>
              </w:rPr>
              <w:instrText xml:space="preserve"> PAGEREF _Toc25229301 \h </w:instrText>
            </w:r>
            <w:r w:rsidR="00F001AC">
              <w:rPr>
                <w:webHidden/>
              </w:rPr>
            </w:r>
            <w:r w:rsidR="00F001AC">
              <w:rPr>
                <w:webHidden/>
              </w:rPr>
              <w:fldChar w:fldCharType="separate"/>
            </w:r>
            <w:r w:rsidR="00D245DB">
              <w:rPr>
                <w:webHidden/>
              </w:rPr>
              <w:t>20</w:t>
            </w:r>
            <w:r w:rsidR="00F001AC">
              <w:rPr>
                <w:webHidden/>
              </w:rPr>
              <w:fldChar w:fldCharType="end"/>
            </w:r>
          </w:hyperlink>
        </w:p>
        <w:p w14:paraId="7C364D2E" w14:textId="6CDEFA07" w:rsidR="00F001AC" w:rsidRDefault="002A4EC4">
          <w:pPr>
            <w:pStyle w:val="Sadraj2"/>
            <w:rPr>
              <w:rFonts w:asciiTheme="minorHAnsi" w:eastAsiaTheme="minorEastAsia" w:hAnsiTheme="minorHAnsi" w:cstheme="minorBidi"/>
              <w:smallCaps w:val="0"/>
              <w:noProof/>
              <w:sz w:val="22"/>
              <w:szCs w:val="22"/>
              <w:lang w:val="fr-FR"/>
            </w:rPr>
          </w:pPr>
          <w:hyperlink w:anchor="_Toc25229302" w:history="1">
            <w:r w:rsidR="00F001AC" w:rsidRPr="004A3420">
              <w:rPr>
                <w:rStyle w:val="Hiperveza"/>
                <w:rFonts w:cstheme="minorHAnsi"/>
                <w:noProof/>
              </w:rPr>
              <w:t>Conflicts of interest</w:t>
            </w:r>
            <w:r w:rsidR="00F001AC">
              <w:rPr>
                <w:noProof/>
                <w:webHidden/>
              </w:rPr>
              <w:tab/>
            </w:r>
            <w:r w:rsidR="00F001AC">
              <w:rPr>
                <w:noProof/>
                <w:webHidden/>
              </w:rPr>
              <w:fldChar w:fldCharType="begin"/>
            </w:r>
            <w:r w:rsidR="00F001AC">
              <w:rPr>
                <w:noProof/>
                <w:webHidden/>
              </w:rPr>
              <w:instrText xml:space="preserve"> PAGEREF _Toc25229302 \h </w:instrText>
            </w:r>
            <w:r w:rsidR="00F001AC">
              <w:rPr>
                <w:noProof/>
                <w:webHidden/>
              </w:rPr>
            </w:r>
            <w:r w:rsidR="00F001AC">
              <w:rPr>
                <w:noProof/>
                <w:webHidden/>
              </w:rPr>
              <w:fldChar w:fldCharType="separate"/>
            </w:r>
            <w:r w:rsidR="00D245DB">
              <w:rPr>
                <w:noProof/>
                <w:webHidden/>
              </w:rPr>
              <w:t>21</w:t>
            </w:r>
            <w:r w:rsidR="00F001AC">
              <w:rPr>
                <w:noProof/>
                <w:webHidden/>
              </w:rPr>
              <w:fldChar w:fldCharType="end"/>
            </w:r>
          </w:hyperlink>
        </w:p>
        <w:p w14:paraId="4A3BE3C2" w14:textId="05021A4A" w:rsidR="00F001AC" w:rsidRDefault="002A4EC4">
          <w:pPr>
            <w:pStyle w:val="Sadraj2"/>
            <w:rPr>
              <w:rFonts w:asciiTheme="minorHAnsi" w:eastAsiaTheme="minorEastAsia" w:hAnsiTheme="minorHAnsi" w:cstheme="minorBidi"/>
              <w:smallCaps w:val="0"/>
              <w:noProof/>
              <w:sz w:val="22"/>
              <w:szCs w:val="22"/>
              <w:lang w:val="fr-FR"/>
            </w:rPr>
          </w:pPr>
          <w:hyperlink w:anchor="_Toc25229303" w:history="1">
            <w:r w:rsidR="00F001AC" w:rsidRPr="004A3420">
              <w:rPr>
                <w:rStyle w:val="Hiperveza"/>
                <w:noProof/>
              </w:rPr>
              <w:t>Prohibition or restriction of certain activities</w:t>
            </w:r>
            <w:r w:rsidR="00F001AC">
              <w:rPr>
                <w:noProof/>
                <w:webHidden/>
              </w:rPr>
              <w:tab/>
            </w:r>
            <w:r w:rsidR="00F001AC">
              <w:rPr>
                <w:noProof/>
                <w:webHidden/>
              </w:rPr>
              <w:fldChar w:fldCharType="begin"/>
            </w:r>
            <w:r w:rsidR="00F001AC">
              <w:rPr>
                <w:noProof/>
                <w:webHidden/>
              </w:rPr>
              <w:instrText xml:space="preserve"> PAGEREF _Toc25229303 \h </w:instrText>
            </w:r>
            <w:r w:rsidR="00F001AC">
              <w:rPr>
                <w:noProof/>
                <w:webHidden/>
              </w:rPr>
            </w:r>
            <w:r w:rsidR="00F001AC">
              <w:rPr>
                <w:noProof/>
                <w:webHidden/>
              </w:rPr>
              <w:fldChar w:fldCharType="separate"/>
            </w:r>
            <w:r w:rsidR="00D245DB">
              <w:rPr>
                <w:noProof/>
                <w:webHidden/>
              </w:rPr>
              <w:t>23</w:t>
            </w:r>
            <w:r w:rsidR="00F001AC">
              <w:rPr>
                <w:noProof/>
                <w:webHidden/>
              </w:rPr>
              <w:fldChar w:fldCharType="end"/>
            </w:r>
          </w:hyperlink>
        </w:p>
        <w:p w14:paraId="769D61AA" w14:textId="2FBF9053" w:rsidR="00F001AC" w:rsidRDefault="002A4EC4">
          <w:pPr>
            <w:pStyle w:val="Sadraj3"/>
            <w:rPr>
              <w:rFonts w:asciiTheme="minorHAnsi" w:eastAsiaTheme="minorEastAsia" w:hAnsiTheme="minorHAnsi" w:cstheme="minorBidi"/>
              <w:i w:val="0"/>
              <w:iCs w:val="0"/>
              <w:sz w:val="22"/>
              <w:szCs w:val="22"/>
              <w:lang w:val="fr-FR"/>
            </w:rPr>
          </w:pPr>
          <w:hyperlink w:anchor="_Toc25229304" w:history="1">
            <w:r w:rsidR="00F001AC" w:rsidRPr="004A3420">
              <w:rPr>
                <w:rStyle w:val="Hiperveza"/>
              </w:rPr>
              <w:t>Incompatibilities, outside activities and financial interests</w:t>
            </w:r>
            <w:r w:rsidR="00F001AC">
              <w:rPr>
                <w:webHidden/>
              </w:rPr>
              <w:tab/>
            </w:r>
            <w:r w:rsidR="00F001AC">
              <w:rPr>
                <w:webHidden/>
              </w:rPr>
              <w:fldChar w:fldCharType="begin"/>
            </w:r>
            <w:r w:rsidR="00F001AC">
              <w:rPr>
                <w:webHidden/>
              </w:rPr>
              <w:instrText xml:space="preserve"> PAGEREF _Toc25229304 \h </w:instrText>
            </w:r>
            <w:r w:rsidR="00F001AC">
              <w:rPr>
                <w:webHidden/>
              </w:rPr>
            </w:r>
            <w:r w:rsidR="00F001AC">
              <w:rPr>
                <w:webHidden/>
              </w:rPr>
              <w:fldChar w:fldCharType="separate"/>
            </w:r>
            <w:r w:rsidR="00D245DB">
              <w:rPr>
                <w:webHidden/>
              </w:rPr>
              <w:t>23</w:t>
            </w:r>
            <w:r w:rsidR="00F001AC">
              <w:rPr>
                <w:webHidden/>
              </w:rPr>
              <w:fldChar w:fldCharType="end"/>
            </w:r>
          </w:hyperlink>
        </w:p>
        <w:p w14:paraId="0EB8AEF2" w14:textId="5B7D265A" w:rsidR="00F001AC" w:rsidRDefault="002A4EC4">
          <w:pPr>
            <w:pStyle w:val="Sadraj3"/>
            <w:rPr>
              <w:rFonts w:asciiTheme="minorHAnsi" w:eastAsiaTheme="minorEastAsia" w:hAnsiTheme="minorHAnsi" w:cstheme="minorBidi"/>
              <w:i w:val="0"/>
              <w:iCs w:val="0"/>
              <w:sz w:val="22"/>
              <w:szCs w:val="22"/>
              <w:lang w:val="fr-FR"/>
            </w:rPr>
          </w:pPr>
          <w:hyperlink w:anchor="_Toc25229305" w:history="1">
            <w:r w:rsidR="00F001AC" w:rsidRPr="004A3420">
              <w:rPr>
                <w:rStyle w:val="Hiperveza"/>
              </w:rPr>
              <w:t>Contracts with state authorities</w:t>
            </w:r>
            <w:r w:rsidR="00F001AC">
              <w:rPr>
                <w:webHidden/>
              </w:rPr>
              <w:tab/>
            </w:r>
            <w:r w:rsidR="00F001AC">
              <w:rPr>
                <w:webHidden/>
              </w:rPr>
              <w:fldChar w:fldCharType="begin"/>
            </w:r>
            <w:r w:rsidR="00F001AC">
              <w:rPr>
                <w:webHidden/>
              </w:rPr>
              <w:instrText xml:space="preserve"> PAGEREF _Toc25229305 \h </w:instrText>
            </w:r>
            <w:r w:rsidR="00F001AC">
              <w:rPr>
                <w:webHidden/>
              </w:rPr>
            </w:r>
            <w:r w:rsidR="00F001AC">
              <w:rPr>
                <w:webHidden/>
              </w:rPr>
              <w:fldChar w:fldCharType="separate"/>
            </w:r>
            <w:r w:rsidR="00D245DB">
              <w:rPr>
                <w:webHidden/>
              </w:rPr>
              <w:t>23</w:t>
            </w:r>
            <w:r w:rsidR="00F001AC">
              <w:rPr>
                <w:webHidden/>
              </w:rPr>
              <w:fldChar w:fldCharType="end"/>
            </w:r>
          </w:hyperlink>
        </w:p>
        <w:p w14:paraId="5E1C3AE0" w14:textId="103E1BC8" w:rsidR="00F001AC" w:rsidRDefault="002A4EC4">
          <w:pPr>
            <w:pStyle w:val="Sadraj3"/>
            <w:rPr>
              <w:rFonts w:asciiTheme="minorHAnsi" w:eastAsiaTheme="minorEastAsia" w:hAnsiTheme="minorHAnsi" w:cstheme="minorBidi"/>
              <w:i w:val="0"/>
              <w:iCs w:val="0"/>
              <w:sz w:val="22"/>
              <w:szCs w:val="22"/>
              <w:lang w:val="fr-FR"/>
            </w:rPr>
          </w:pPr>
          <w:hyperlink w:anchor="_Toc25229306" w:history="1">
            <w:r w:rsidR="00F001AC" w:rsidRPr="004A3420">
              <w:rPr>
                <w:rStyle w:val="Hiperveza"/>
              </w:rPr>
              <w:t>Gifts</w:t>
            </w:r>
            <w:r w:rsidR="00F001AC">
              <w:rPr>
                <w:webHidden/>
              </w:rPr>
              <w:tab/>
            </w:r>
            <w:r w:rsidR="00F001AC">
              <w:rPr>
                <w:webHidden/>
              </w:rPr>
              <w:fldChar w:fldCharType="begin"/>
            </w:r>
            <w:r w:rsidR="00F001AC">
              <w:rPr>
                <w:webHidden/>
              </w:rPr>
              <w:instrText xml:space="preserve"> PAGEREF _Toc25229306 \h </w:instrText>
            </w:r>
            <w:r w:rsidR="00F001AC">
              <w:rPr>
                <w:webHidden/>
              </w:rPr>
            </w:r>
            <w:r w:rsidR="00F001AC">
              <w:rPr>
                <w:webHidden/>
              </w:rPr>
              <w:fldChar w:fldCharType="separate"/>
            </w:r>
            <w:r w:rsidR="00D245DB">
              <w:rPr>
                <w:webHidden/>
              </w:rPr>
              <w:t>24</w:t>
            </w:r>
            <w:r w:rsidR="00F001AC">
              <w:rPr>
                <w:webHidden/>
              </w:rPr>
              <w:fldChar w:fldCharType="end"/>
            </w:r>
          </w:hyperlink>
        </w:p>
        <w:p w14:paraId="7C0B8FB8" w14:textId="0F633402" w:rsidR="00F001AC" w:rsidRDefault="002A4EC4">
          <w:pPr>
            <w:pStyle w:val="Sadraj3"/>
            <w:rPr>
              <w:rFonts w:asciiTheme="minorHAnsi" w:eastAsiaTheme="minorEastAsia" w:hAnsiTheme="minorHAnsi" w:cstheme="minorBidi"/>
              <w:i w:val="0"/>
              <w:iCs w:val="0"/>
              <w:sz w:val="22"/>
              <w:szCs w:val="22"/>
              <w:lang w:val="fr-FR"/>
            </w:rPr>
          </w:pPr>
          <w:hyperlink w:anchor="_Toc25229307" w:history="1">
            <w:r w:rsidR="00F001AC" w:rsidRPr="004A3420">
              <w:rPr>
                <w:rStyle w:val="Hiperveza"/>
              </w:rPr>
              <w:t>Misuse of public resources</w:t>
            </w:r>
            <w:r w:rsidR="00F001AC">
              <w:rPr>
                <w:webHidden/>
              </w:rPr>
              <w:tab/>
            </w:r>
            <w:r w:rsidR="00F001AC">
              <w:rPr>
                <w:webHidden/>
              </w:rPr>
              <w:fldChar w:fldCharType="begin"/>
            </w:r>
            <w:r w:rsidR="00F001AC">
              <w:rPr>
                <w:webHidden/>
              </w:rPr>
              <w:instrText xml:space="preserve"> PAGEREF _Toc25229307 \h </w:instrText>
            </w:r>
            <w:r w:rsidR="00F001AC">
              <w:rPr>
                <w:webHidden/>
              </w:rPr>
            </w:r>
            <w:r w:rsidR="00F001AC">
              <w:rPr>
                <w:webHidden/>
              </w:rPr>
              <w:fldChar w:fldCharType="separate"/>
            </w:r>
            <w:r w:rsidR="00D245DB">
              <w:rPr>
                <w:webHidden/>
              </w:rPr>
              <w:t>24</w:t>
            </w:r>
            <w:r w:rsidR="00F001AC">
              <w:rPr>
                <w:webHidden/>
              </w:rPr>
              <w:fldChar w:fldCharType="end"/>
            </w:r>
          </w:hyperlink>
        </w:p>
        <w:p w14:paraId="629578B5" w14:textId="533925EB" w:rsidR="00F001AC" w:rsidRDefault="002A4EC4">
          <w:pPr>
            <w:pStyle w:val="Sadraj3"/>
            <w:rPr>
              <w:rFonts w:asciiTheme="minorHAnsi" w:eastAsiaTheme="minorEastAsia" w:hAnsiTheme="minorHAnsi" w:cstheme="minorBidi"/>
              <w:i w:val="0"/>
              <w:iCs w:val="0"/>
              <w:sz w:val="22"/>
              <w:szCs w:val="22"/>
              <w:lang w:val="fr-FR"/>
            </w:rPr>
          </w:pPr>
          <w:hyperlink w:anchor="_Toc25229308" w:history="1">
            <w:r w:rsidR="00F001AC" w:rsidRPr="004A3420">
              <w:rPr>
                <w:rStyle w:val="Hiperveza"/>
              </w:rPr>
              <w:t>Misuse of confidential information</w:t>
            </w:r>
            <w:r w:rsidR="00F001AC">
              <w:rPr>
                <w:webHidden/>
              </w:rPr>
              <w:tab/>
            </w:r>
            <w:r w:rsidR="00F001AC">
              <w:rPr>
                <w:webHidden/>
              </w:rPr>
              <w:fldChar w:fldCharType="begin"/>
            </w:r>
            <w:r w:rsidR="00F001AC">
              <w:rPr>
                <w:webHidden/>
              </w:rPr>
              <w:instrText xml:space="preserve"> PAGEREF _Toc25229308 \h </w:instrText>
            </w:r>
            <w:r w:rsidR="00F001AC">
              <w:rPr>
                <w:webHidden/>
              </w:rPr>
            </w:r>
            <w:r w:rsidR="00F001AC">
              <w:rPr>
                <w:webHidden/>
              </w:rPr>
              <w:fldChar w:fldCharType="separate"/>
            </w:r>
            <w:r w:rsidR="00D245DB">
              <w:rPr>
                <w:webHidden/>
              </w:rPr>
              <w:t>24</w:t>
            </w:r>
            <w:r w:rsidR="00F001AC">
              <w:rPr>
                <w:webHidden/>
              </w:rPr>
              <w:fldChar w:fldCharType="end"/>
            </w:r>
          </w:hyperlink>
        </w:p>
        <w:p w14:paraId="1B44A321" w14:textId="2B3094A6" w:rsidR="00F001AC" w:rsidRDefault="002A4EC4">
          <w:pPr>
            <w:pStyle w:val="Sadraj3"/>
            <w:rPr>
              <w:rFonts w:asciiTheme="minorHAnsi" w:eastAsiaTheme="minorEastAsia" w:hAnsiTheme="minorHAnsi" w:cstheme="minorBidi"/>
              <w:i w:val="0"/>
              <w:iCs w:val="0"/>
              <w:sz w:val="22"/>
              <w:szCs w:val="22"/>
              <w:lang w:val="fr-FR"/>
            </w:rPr>
          </w:pPr>
          <w:hyperlink w:anchor="_Toc25229309" w:history="1">
            <w:r w:rsidR="00F001AC" w:rsidRPr="004A3420">
              <w:rPr>
                <w:rStyle w:val="Hiperveza"/>
              </w:rPr>
              <w:t>Post-employment restrictions</w:t>
            </w:r>
            <w:r w:rsidR="00F001AC">
              <w:rPr>
                <w:webHidden/>
              </w:rPr>
              <w:tab/>
            </w:r>
            <w:r w:rsidR="00F001AC">
              <w:rPr>
                <w:webHidden/>
              </w:rPr>
              <w:fldChar w:fldCharType="begin"/>
            </w:r>
            <w:r w:rsidR="00F001AC">
              <w:rPr>
                <w:webHidden/>
              </w:rPr>
              <w:instrText xml:space="preserve"> PAGEREF _Toc25229309 \h </w:instrText>
            </w:r>
            <w:r w:rsidR="00F001AC">
              <w:rPr>
                <w:webHidden/>
              </w:rPr>
            </w:r>
            <w:r w:rsidR="00F001AC">
              <w:rPr>
                <w:webHidden/>
              </w:rPr>
              <w:fldChar w:fldCharType="separate"/>
            </w:r>
            <w:r w:rsidR="00D245DB">
              <w:rPr>
                <w:webHidden/>
              </w:rPr>
              <w:t>24</w:t>
            </w:r>
            <w:r w:rsidR="00F001AC">
              <w:rPr>
                <w:webHidden/>
              </w:rPr>
              <w:fldChar w:fldCharType="end"/>
            </w:r>
          </w:hyperlink>
        </w:p>
        <w:p w14:paraId="3332E7A1" w14:textId="4F6E6EC1" w:rsidR="00F001AC" w:rsidRDefault="002A4EC4">
          <w:pPr>
            <w:pStyle w:val="Sadraj2"/>
            <w:rPr>
              <w:rFonts w:asciiTheme="minorHAnsi" w:eastAsiaTheme="minorEastAsia" w:hAnsiTheme="minorHAnsi" w:cstheme="minorBidi"/>
              <w:smallCaps w:val="0"/>
              <w:noProof/>
              <w:sz w:val="22"/>
              <w:szCs w:val="22"/>
              <w:lang w:val="fr-FR"/>
            </w:rPr>
          </w:pPr>
          <w:hyperlink w:anchor="_Toc25229310" w:history="1">
            <w:r w:rsidR="00F001AC" w:rsidRPr="004A3420">
              <w:rPr>
                <w:rStyle w:val="Hiperveza"/>
                <w:rFonts w:cstheme="minorHAnsi"/>
                <w:noProof/>
              </w:rPr>
              <w:t>Declaration of assets, income, liabilities and interests</w:t>
            </w:r>
            <w:r w:rsidR="00F001AC">
              <w:rPr>
                <w:noProof/>
                <w:webHidden/>
              </w:rPr>
              <w:tab/>
            </w:r>
            <w:r w:rsidR="00F001AC">
              <w:rPr>
                <w:noProof/>
                <w:webHidden/>
              </w:rPr>
              <w:fldChar w:fldCharType="begin"/>
            </w:r>
            <w:r w:rsidR="00F001AC">
              <w:rPr>
                <w:noProof/>
                <w:webHidden/>
              </w:rPr>
              <w:instrText xml:space="preserve"> PAGEREF _Toc25229310 \h </w:instrText>
            </w:r>
            <w:r w:rsidR="00F001AC">
              <w:rPr>
                <w:noProof/>
                <w:webHidden/>
              </w:rPr>
            </w:r>
            <w:r w:rsidR="00F001AC">
              <w:rPr>
                <w:noProof/>
                <w:webHidden/>
              </w:rPr>
              <w:fldChar w:fldCharType="separate"/>
            </w:r>
            <w:r w:rsidR="00D245DB">
              <w:rPr>
                <w:noProof/>
                <w:webHidden/>
              </w:rPr>
              <w:t>25</w:t>
            </w:r>
            <w:r w:rsidR="00F001AC">
              <w:rPr>
                <w:noProof/>
                <w:webHidden/>
              </w:rPr>
              <w:fldChar w:fldCharType="end"/>
            </w:r>
          </w:hyperlink>
        </w:p>
        <w:p w14:paraId="42ECDFA2" w14:textId="0A96BFF8" w:rsidR="00F001AC" w:rsidRDefault="002A4EC4">
          <w:pPr>
            <w:pStyle w:val="Sadraj3"/>
            <w:rPr>
              <w:rFonts w:asciiTheme="minorHAnsi" w:eastAsiaTheme="minorEastAsia" w:hAnsiTheme="minorHAnsi" w:cstheme="minorBidi"/>
              <w:i w:val="0"/>
              <w:iCs w:val="0"/>
              <w:sz w:val="22"/>
              <w:szCs w:val="22"/>
              <w:lang w:val="fr-FR"/>
            </w:rPr>
          </w:pPr>
          <w:hyperlink w:anchor="_Toc25229311" w:history="1">
            <w:r w:rsidR="00F001AC" w:rsidRPr="004A3420">
              <w:rPr>
                <w:rStyle w:val="Hiperveza"/>
              </w:rPr>
              <w:t>Declaration requirements</w:t>
            </w:r>
            <w:r w:rsidR="00F001AC">
              <w:rPr>
                <w:webHidden/>
              </w:rPr>
              <w:tab/>
            </w:r>
            <w:r w:rsidR="00F001AC">
              <w:rPr>
                <w:webHidden/>
              </w:rPr>
              <w:fldChar w:fldCharType="begin"/>
            </w:r>
            <w:r w:rsidR="00F001AC">
              <w:rPr>
                <w:webHidden/>
              </w:rPr>
              <w:instrText xml:space="preserve"> PAGEREF _Toc25229311 \h </w:instrText>
            </w:r>
            <w:r w:rsidR="00F001AC">
              <w:rPr>
                <w:webHidden/>
              </w:rPr>
            </w:r>
            <w:r w:rsidR="00F001AC">
              <w:rPr>
                <w:webHidden/>
              </w:rPr>
              <w:fldChar w:fldCharType="separate"/>
            </w:r>
            <w:r w:rsidR="00D245DB">
              <w:rPr>
                <w:webHidden/>
              </w:rPr>
              <w:t>25</w:t>
            </w:r>
            <w:r w:rsidR="00F001AC">
              <w:rPr>
                <w:webHidden/>
              </w:rPr>
              <w:fldChar w:fldCharType="end"/>
            </w:r>
          </w:hyperlink>
        </w:p>
        <w:p w14:paraId="144C2305" w14:textId="5038230C" w:rsidR="00F001AC" w:rsidRDefault="002A4EC4">
          <w:pPr>
            <w:pStyle w:val="Sadraj3"/>
            <w:rPr>
              <w:rFonts w:asciiTheme="minorHAnsi" w:eastAsiaTheme="minorEastAsia" w:hAnsiTheme="minorHAnsi" w:cstheme="minorBidi"/>
              <w:i w:val="0"/>
              <w:iCs w:val="0"/>
              <w:sz w:val="22"/>
              <w:szCs w:val="22"/>
              <w:lang w:val="fr-FR"/>
            </w:rPr>
          </w:pPr>
          <w:hyperlink w:anchor="_Toc25229312" w:history="1">
            <w:r w:rsidR="00F001AC" w:rsidRPr="004A3420">
              <w:rPr>
                <w:rStyle w:val="Hiperveza"/>
              </w:rPr>
              <w:t>Review mechanisms</w:t>
            </w:r>
            <w:r w:rsidR="00F001AC">
              <w:rPr>
                <w:webHidden/>
              </w:rPr>
              <w:tab/>
            </w:r>
            <w:r w:rsidR="00F001AC">
              <w:rPr>
                <w:webHidden/>
              </w:rPr>
              <w:fldChar w:fldCharType="begin"/>
            </w:r>
            <w:r w:rsidR="00F001AC">
              <w:rPr>
                <w:webHidden/>
              </w:rPr>
              <w:instrText xml:space="preserve"> PAGEREF _Toc25229312 \h </w:instrText>
            </w:r>
            <w:r w:rsidR="00F001AC">
              <w:rPr>
                <w:webHidden/>
              </w:rPr>
            </w:r>
            <w:r w:rsidR="00F001AC">
              <w:rPr>
                <w:webHidden/>
              </w:rPr>
              <w:fldChar w:fldCharType="separate"/>
            </w:r>
            <w:r w:rsidR="00D245DB">
              <w:rPr>
                <w:webHidden/>
              </w:rPr>
              <w:t>26</w:t>
            </w:r>
            <w:r w:rsidR="00F001AC">
              <w:rPr>
                <w:webHidden/>
              </w:rPr>
              <w:fldChar w:fldCharType="end"/>
            </w:r>
          </w:hyperlink>
        </w:p>
        <w:p w14:paraId="47E83023" w14:textId="077FABD4" w:rsidR="00F001AC" w:rsidRDefault="002A4EC4">
          <w:pPr>
            <w:pStyle w:val="Sadraj2"/>
            <w:rPr>
              <w:rFonts w:asciiTheme="minorHAnsi" w:eastAsiaTheme="minorEastAsia" w:hAnsiTheme="minorHAnsi" w:cstheme="minorBidi"/>
              <w:smallCaps w:val="0"/>
              <w:noProof/>
              <w:sz w:val="22"/>
              <w:szCs w:val="22"/>
              <w:lang w:val="fr-FR"/>
            </w:rPr>
          </w:pPr>
          <w:hyperlink w:anchor="_Toc25229313" w:history="1">
            <w:r w:rsidR="00F001AC" w:rsidRPr="004A3420">
              <w:rPr>
                <w:rStyle w:val="Hiperveza"/>
                <w:rFonts w:cstheme="minorHAnsi"/>
                <w:noProof/>
              </w:rPr>
              <w:t>Accountability and enforcement mechanisms</w:t>
            </w:r>
            <w:r w:rsidR="00F001AC">
              <w:rPr>
                <w:noProof/>
                <w:webHidden/>
              </w:rPr>
              <w:tab/>
            </w:r>
            <w:r w:rsidR="00F001AC">
              <w:rPr>
                <w:noProof/>
                <w:webHidden/>
              </w:rPr>
              <w:fldChar w:fldCharType="begin"/>
            </w:r>
            <w:r w:rsidR="00F001AC">
              <w:rPr>
                <w:noProof/>
                <w:webHidden/>
              </w:rPr>
              <w:instrText xml:space="preserve"> PAGEREF _Toc25229313 \h </w:instrText>
            </w:r>
            <w:r w:rsidR="00F001AC">
              <w:rPr>
                <w:noProof/>
                <w:webHidden/>
              </w:rPr>
            </w:r>
            <w:r w:rsidR="00F001AC">
              <w:rPr>
                <w:noProof/>
                <w:webHidden/>
              </w:rPr>
              <w:fldChar w:fldCharType="separate"/>
            </w:r>
            <w:r w:rsidR="00D245DB">
              <w:rPr>
                <w:noProof/>
                <w:webHidden/>
              </w:rPr>
              <w:t>28</w:t>
            </w:r>
            <w:r w:rsidR="00F001AC">
              <w:rPr>
                <w:noProof/>
                <w:webHidden/>
              </w:rPr>
              <w:fldChar w:fldCharType="end"/>
            </w:r>
          </w:hyperlink>
        </w:p>
        <w:p w14:paraId="318B86D5" w14:textId="6DD31199" w:rsidR="00F001AC" w:rsidRDefault="002A4EC4">
          <w:pPr>
            <w:pStyle w:val="Sadraj3"/>
            <w:rPr>
              <w:rFonts w:asciiTheme="minorHAnsi" w:eastAsiaTheme="minorEastAsia" w:hAnsiTheme="minorHAnsi" w:cstheme="minorBidi"/>
              <w:i w:val="0"/>
              <w:iCs w:val="0"/>
              <w:sz w:val="22"/>
              <w:szCs w:val="22"/>
              <w:lang w:val="fr-FR"/>
            </w:rPr>
          </w:pPr>
          <w:hyperlink w:anchor="_Toc25229314" w:history="1">
            <w:r w:rsidR="00F001AC" w:rsidRPr="004A3420">
              <w:rPr>
                <w:rStyle w:val="Hiperveza"/>
              </w:rPr>
              <w:t>Non-criminal enforcement mechanisms</w:t>
            </w:r>
            <w:r w:rsidR="00F001AC">
              <w:rPr>
                <w:webHidden/>
              </w:rPr>
              <w:tab/>
            </w:r>
            <w:r w:rsidR="00F001AC">
              <w:rPr>
                <w:webHidden/>
              </w:rPr>
              <w:fldChar w:fldCharType="begin"/>
            </w:r>
            <w:r w:rsidR="00F001AC">
              <w:rPr>
                <w:webHidden/>
              </w:rPr>
              <w:instrText xml:space="preserve"> PAGEREF _Toc25229314 \h </w:instrText>
            </w:r>
            <w:r w:rsidR="00F001AC">
              <w:rPr>
                <w:webHidden/>
              </w:rPr>
            </w:r>
            <w:r w:rsidR="00F001AC">
              <w:rPr>
                <w:webHidden/>
              </w:rPr>
              <w:fldChar w:fldCharType="separate"/>
            </w:r>
            <w:r w:rsidR="00D245DB">
              <w:rPr>
                <w:webHidden/>
              </w:rPr>
              <w:t>28</w:t>
            </w:r>
            <w:r w:rsidR="00F001AC">
              <w:rPr>
                <w:webHidden/>
              </w:rPr>
              <w:fldChar w:fldCharType="end"/>
            </w:r>
          </w:hyperlink>
        </w:p>
        <w:p w14:paraId="50C0643B" w14:textId="7B777C7E" w:rsidR="00F001AC" w:rsidRDefault="002A4EC4">
          <w:pPr>
            <w:pStyle w:val="Sadraj3"/>
            <w:rPr>
              <w:rFonts w:asciiTheme="minorHAnsi" w:eastAsiaTheme="minorEastAsia" w:hAnsiTheme="minorHAnsi" w:cstheme="minorBidi"/>
              <w:i w:val="0"/>
              <w:iCs w:val="0"/>
              <w:sz w:val="22"/>
              <w:szCs w:val="22"/>
              <w:lang w:val="fr-FR"/>
            </w:rPr>
          </w:pPr>
          <w:hyperlink w:anchor="_Toc25229315" w:history="1">
            <w:r w:rsidR="00F001AC" w:rsidRPr="004A3420">
              <w:rPr>
                <w:rStyle w:val="Hiperveza"/>
              </w:rPr>
              <w:t>Criminal proceedings and immunities</w:t>
            </w:r>
            <w:r w:rsidR="00F001AC">
              <w:rPr>
                <w:webHidden/>
              </w:rPr>
              <w:tab/>
            </w:r>
            <w:r w:rsidR="00F001AC">
              <w:rPr>
                <w:webHidden/>
              </w:rPr>
              <w:fldChar w:fldCharType="begin"/>
            </w:r>
            <w:r w:rsidR="00F001AC">
              <w:rPr>
                <w:webHidden/>
              </w:rPr>
              <w:instrText xml:space="preserve"> PAGEREF _Toc25229315 \h </w:instrText>
            </w:r>
            <w:r w:rsidR="00F001AC">
              <w:rPr>
                <w:webHidden/>
              </w:rPr>
            </w:r>
            <w:r w:rsidR="00F001AC">
              <w:rPr>
                <w:webHidden/>
              </w:rPr>
              <w:fldChar w:fldCharType="separate"/>
            </w:r>
            <w:r w:rsidR="00D245DB">
              <w:rPr>
                <w:webHidden/>
              </w:rPr>
              <w:t>30</w:t>
            </w:r>
            <w:r w:rsidR="00F001AC">
              <w:rPr>
                <w:webHidden/>
              </w:rPr>
              <w:fldChar w:fldCharType="end"/>
            </w:r>
          </w:hyperlink>
        </w:p>
        <w:p w14:paraId="7FD216E1" w14:textId="52FAF1AE" w:rsidR="00F001AC" w:rsidRDefault="002A4EC4">
          <w:pPr>
            <w:pStyle w:val="Sadraj3"/>
            <w:rPr>
              <w:rFonts w:asciiTheme="minorHAnsi" w:eastAsiaTheme="minorEastAsia" w:hAnsiTheme="minorHAnsi" w:cstheme="minorBidi"/>
              <w:i w:val="0"/>
              <w:iCs w:val="0"/>
              <w:sz w:val="22"/>
              <w:szCs w:val="22"/>
              <w:lang w:val="fr-FR"/>
            </w:rPr>
          </w:pPr>
          <w:hyperlink w:anchor="_Toc25229316" w:history="1">
            <w:r w:rsidR="00F001AC" w:rsidRPr="004A3420">
              <w:rPr>
                <w:rStyle w:val="Hiperveza"/>
              </w:rPr>
              <w:t>Statistics</w:t>
            </w:r>
            <w:r w:rsidR="00F001AC">
              <w:rPr>
                <w:webHidden/>
              </w:rPr>
              <w:tab/>
            </w:r>
            <w:r w:rsidR="00F001AC">
              <w:rPr>
                <w:webHidden/>
              </w:rPr>
              <w:fldChar w:fldCharType="begin"/>
            </w:r>
            <w:r w:rsidR="00F001AC">
              <w:rPr>
                <w:webHidden/>
              </w:rPr>
              <w:instrText xml:space="preserve"> PAGEREF _Toc25229316 \h </w:instrText>
            </w:r>
            <w:r w:rsidR="00F001AC">
              <w:rPr>
                <w:webHidden/>
              </w:rPr>
            </w:r>
            <w:r w:rsidR="00F001AC">
              <w:rPr>
                <w:webHidden/>
              </w:rPr>
              <w:fldChar w:fldCharType="separate"/>
            </w:r>
            <w:r w:rsidR="00D245DB">
              <w:rPr>
                <w:webHidden/>
              </w:rPr>
              <w:t>31</w:t>
            </w:r>
            <w:r w:rsidR="00F001AC">
              <w:rPr>
                <w:webHidden/>
              </w:rPr>
              <w:fldChar w:fldCharType="end"/>
            </w:r>
          </w:hyperlink>
        </w:p>
        <w:p w14:paraId="39C4A1B6" w14:textId="0CB3F559" w:rsidR="00F001AC" w:rsidRDefault="002A4EC4">
          <w:pPr>
            <w:pStyle w:val="Sadraj1"/>
            <w:rPr>
              <w:rFonts w:asciiTheme="minorHAnsi" w:eastAsiaTheme="minorEastAsia" w:hAnsiTheme="minorHAnsi" w:cstheme="minorBidi"/>
              <w:b w:val="0"/>
              <w:bCs w:val="0"/>
              <w:caps w:val="0"/>
              <w:noProof/>
              <w:sz w:val="22"/>
              <w:szCs w:val="22"/>
              <w:lang w:val="fr-FR"/>
            </w:rPr>
          </w:pPr>
          <w:hyperlink w:anchor="_Toc25229317" w:history="1">
            <w:r w:rsidR="00F001AC" w:rsidRPr="004A3420">
              <w:rPr>
                <w:rStyle w:val="Hiperveza"/>
                <w:noProof/>
              </w:rPr>
              <w:t>V.</w:t>
            </w:r>
            <w:r w:rsidR="00F001AC">
              <w:rPr>
                <w:rFonts w:asciiTheme="minorHAnsi" w:eastAsiaTheme="minorEastAsia" w:hAnsiTheme="minorHAnsi" w:cstheme="minorBidi"/>
                <w:b w:val="0"/>
                <w:bCs w:val="0"/>
                <w:caps w:val="0"/>
                <w:noProof/>
                <w:sz w:val="22"/>
                <w:szCs w:val="22"/>
                <w:lang w:val="fr-FR"/>
              </w:rPr>
              <w:tab/>
            </w:r>
            <w:r w:rsidR="00F001AC" w:rsidRPr="004A3420">
              <w:rPr>
                <w:rStyle w:val="Hiperveza"/>
                <w:noProof/>
              </w:rPr>
              <w:t>CORRUPTION PREVENTION IN LAW ENFORCEMENT AGENCIES</w:t>
            </w:r>
            <w:r w:rsidR="00F001AC">
              <w:rPr>
                <w:noProof/>
                <w:webHidden/>
              </w:rPr>
              <w:tab/>
            </w:r>
            <w:r w:rsidR="00F001AC">
              <w:rPr>
                <w:noProof/>
                <w:webHidden/>
              </w:rPr>
              <w:fldChar w:fldCharType="begin"/>
            </w:r>
            <w:r w:rsidR="00F001AC">
              <w:rPr>
                <w:noProof/>
                <w:webHidden/>
              </w:rPr>
              <w:instrText xml:space="preserve"> PAGEREF _Toc25229317 \h </w:instrText>
            </w:r>
            <w:r w:rsidR="00F001AC">
              <w:rPr>
                <w:noProof/>
                <w:webHidden/>
              </w:rPr>
            </w:r>
            <w:r w:rsidR="00F001AC">
              <w:rPr>
                <w:noProof/>
                <w:webHidden/>
              </w:rPr>
              <w:fldChar w:fldCharType="separate"/>
            </w:r>
            <w:r w:rsidR="00D245DB">
              <w:rPr>
                <w:noProof/>
                <w:webHidden/>
              </w:rPr>
              <w:t>32</w:t>
            </w:r>
            <w:r w:rsidR="00F001AC">
              <w:rPr>
                <w:noProof/>
                <w:webHidden/>
              </w:rPr>
              <w:fldChar w:fldCharType="end"/>
            </w:r>
          </w:hyperlink>
        </w:p>
        <w:p w14:paraId="477C9337" w14:textId="103001C0" w:rsidR="00F001AC" w:rsidRDefault="002A4EC4">
          <w:pPr>
            <w:pStyle w:val="Sadraj2"/>
            <w:rPr>
              <w:rFonts w:asciiTheme="minorHAnsi" w:eastAsiaTheme="minorEastAsia" w:hAnsiTheme="minorHAnsi" w:cstheme="minorBidi"/>
              <w:smallCaps w:val="0"/>
              <w:noProof/>
              <w:sz w:val="22"/>
              <w:szCs w:val="22"/>
              <w:lang w:val="fr-FR"/>
            </w:rPr>
          </w:pPr>
          <w:hyperlink w:anchor="_Toc25229318" w:history="1">
            <w:r w:rsidR="00F001AC" w:rsidRPr="004A3420">
              <w:rPr>
                <w:rStyle w:val="Hiperveza"/>
                <w:noProof/>
              </w:rPr>
              <w:t>Organisation and accountability law enforcement/police authorities</w:t>
            </w:r>
            <w:r w:rsidR="00F001AC">
              <w:rPr>
                <w:noProof/>
                <w:webHidden/>
              </w:rPr>
              <w:tab/>
            </w:r>
            <w:r w:rsidR="00F001AC">
              <w:rPr>
                <w:noProof/>
                <w:webHidden/>
              </w:rPr>
              <w:fldChar w:fldCharType="begin"/>
            </w:r>
            <w:r w:rsidR="00F001AC">
              <w:rPr>
                <w:noProof/>
                <w:webHidden/>
              </w:rPr>
              <w:instrText xml:space="preserve"> PAGEREF _Toc25229318 \h </w:instrText>
            </w:r>
            <w:r w:rsidR="00F001AC">
              <w:rPr>
                <w:noProof/>
                <w:webHidden/>
              </w:rPr>
            </w:r>
            <w:r w:rsidR="00F001AC">
              <w:rPr>
                <w:noProof/>
                <w:webHidden/>
              </w:rPr>
              <w:fldChar w:fldCharType="separate"/>
            </w:r>
            <w:r w:rsidR="00D245DB">
              <w:rPr>
                <w:noProof/>
                <w:webHidden/>
              </w:rPr>
              <w:t>32</w:t>
            </w:r>
            <w:r w:rsidR="00F001AC">
              <w:rPr>
                <w:noProof/>
                <w:webHidden/>
              </w:rPr>
              <w:fldChar w:fldCharType="end"/>
            </w:r>
          </w:hyperlink>
        </w:p>
        <w:p w14:paraId="1128857E" w14:textId="2493F8D9" w:rsidR="00F001AC" w:rsidRDefault="002A4EC4">
          <w:pPr>
            <w:pStyle w:val="Sadraj3"/>
            <w:rPr>
              <w:rFonts w:asciiTheme="minorHAnsi" w:eastAsiaTheme="minorEastAsia" w:hAnsiTheme="minorHAnsi" w:cstheme="minorBidi"/>
              <w:i w:val="0"/>
              <w:iCs w:val="0"/>
              <w:sz w:val="22"/>
              <w:szCs w:val="22"/>
              <w:lang w:val="fr-FR"/>
            </w:rPr>
          </w:pPr>
          <w:hyperlink w:anchor="_Toc25229319" w:history="1">
            <w:r w:rsidR="00F001AC" w:rsidRPr="004A3420">
              <w:rPr>
                <w:rStyle w:val="Hiperveza"/>
              </w:rPr>
              <w:t>Organisation and accountability of selected law enforcement authorities</w:t>
            </w:r>
            <w:r w:rsidR="00F001AC">
              <w:rPr>
                <w:webHidden/>
              </w:rPr>
              <w:tab/>
            </w:r>
            <w:r w:rsidR="00F001AC">
              <w:rPr>
                <w:webHidden/>
              </w:rPr>
              <w:fldChar w:fldCharType="begin"/>
            </w:r>
            <w:r w:rsidR="00F001AC">
              <w:rPr>
                <w:webHidden/>
              </w:rPr>
              <w:instrText xml:space="preserve"> PAGEREF _Toc25229319 \h </w:instrText>
            </w:r>
            <w:r w:rsidR="00F001AC">
              <w:rPr>
                <w:webHidden/>
              </w:rPr>
            </w:r>
            <w:r w:rsidR="00F001AC">
              <w:rPr>
                <w:webHidden/>
              </w:rPr>
              <w:fldChar w:fldCharType="separate"/>
            </w:r>
            <w:r w:rsidR="00D245DB">
              <w:rPr>
                <w:webHidden/>
              </w:rPr>
              <w:t>32</w:t>
            </w:r>
            <w:r w:rsidR="00F001AC">
              <w:rPr>
                <w:webHidden/>
              </w:rPr>
              <w:fldChar w:fldCharType="end"/>
            </w:r>
          </w:hyperlink>
        </w:p>
        <w:p w14:paraId="5A95E473" w14:textId="5CF9610C" w:rsidR="00F001AC" w:rsidRDefault="002A4EC4">
          <w:pPr>
            <w:pStyle w:val="Sadraj3"/>
            <w:rPr>
              <w:rFonts w:asciiTheme="minorHAnsi" w:eastAsiaTheme="minorEastAsia" w:hAnsiTheme="minorHAnsi" w:cstheme="minorBidi"/>
              <w:i w:val="0"/>
              <w:iCs w:val="0"/>
              <w:sz w:val="22"/>
              <w:szCs w:val="22"/>
              <w:lang w:val="fr-FR"/>
            </w:rPr>
          </w:pPr>
          <w:hyperlink w:anchor="_Toc25229320" w:history="1">
            <w:r w:rsidR="00F001AC" w:rsidRPr="004A3420">
              <w:rPr>
                <w:rStyle w:val="Hiperveza"/>
              </w:rPr>
              <w:t>Access to information</w:t>
            </w:r>
            <w:r w:rsidR="00F001AC">
              <w:rPr>
                <w:webHidden/>
              </w:rPr>
              <w:tab/>
            </w:r>
            <w:r w:rsidR="00F001AC">
              <w:rPr>
                <w:webHidden/>
              </w:rPr>
              <w:fldChar w:fldCharType="begin"/>
            </w:r>
            <w:r w:rsidR="00F001AC">
              <w:rPr>
                <w:webHidden/>
              </w:rPr>
              <w:instrText xml:space="preserve"> PAGEREF _Toc25229320 \h </w:instrText>
            </w:r>
            <w:r w:rsidR="00F001AC">
              <w:rPr>
                <w:webHidden/>
              </w:rPr>
            </w:r>
            <w:r w:rsidR="00F001AC">
              <w:rPr>
                <w:webHidden/>
              </w:rPr>
              <w:fldChar w:fldCharType="separate"/>
            </w:r>
            <w:r w:rsidR="00D245DB">
              <w:rPr>
                <w:webHidden/>
              </w:rPr>
              <w:t>32</w:t>
            </w:r>
            <w:r w:rsidR="00F001AC">
              <w:rPr>
                <w:webHidden/>
              </w:rPr>
              <w:fldChar w:fldCharType="end"/>
            </w:r>
          </w:hyperlink>
        </w:p>
        <w:p w14:paraId="4369FA07" w14:textId="4FB4F196" w:rsidR="00F001AC" w:rsidRDefault="002A4EC4">
          <w:pPr>
            <w:pStyle w:val="Sadraj3"/>
            <w:rPr>
              <w:rFonts w:asciiTheme="minorHAnsi" w:eastAsiaTheme="minorEastAsia" w:hAnsiTheme="minorHAnsi" w:cstheme="minorBidi"/>
              <w:i w:val="0"/>
              <w:iCs w:val="0"/>
              <w:sz w:val="22"/>
              <w:szCs w:val="22"/>
              <w:lang w:val="fr-FR"/>
            </w:rPr>
          </w:pPr>
          <w:hyperlink w:anchor="_Toc25229321" w:history="1">
            <w:r w:rsidR="00F001AC" w:rsidRPr="004A3420">
              <w:rPr>
                <w:rStyle w:val="Hiperveza"/>
              </w:rPr>
              <w:t>Public trust in law enforcement authorities</w:t>
            </w:r>
            <w:r w:rsidR="00F001AC">
              <w:rPr>
                <w:webHidden/>
              </w:rPr>
              <w:tab/>
            </w:r>
            <w:r w:rsidR="00F001AC">
              <w:rPr>
                <w:webHidden/>
              </w:rPr>
              <w:fldChar w:fldCharType="begin"/>
            </w:r>
            <w:r w:rsidR="00F001AC">
              <w:rPr>
                <w:webHidden/>
              </w:rPr>
              <w:instrText xml:space="preserve"> PAGEREF _Toc25229321 \h </w:instrText>
            </w:r>
            <w:r w:rsidR="00F001AC">
              <w:rPr>
                <w:webHidden/>
              </w:rPr>
            </w:r>
            <w:r w:rsidR="00F001AC">
              <w:rPr>
                <w:webHidden/>
              </w:rPr>
              <w:fldChar w:fldCharType="separate"/>
            </w:r>
            <w:r w:rsidR="00D245DB">
              <w:rPr>
                <w:webHidden/>
              </w:rPr>
              <w:t>32</w:t>
            </w:r>
            <w:r w:rsidR="00F001AC">
              <w:rPr>
                <w:webHidden/>
              </w:rPr>
              <w:fldChar w:fldCharType="end"/>
            </w:r>
          </w:hyperlink>
        </w:p>
        <w:p w14:paraId="53A9A7BF" w14:textId="14CC89EF" w:rsidR="00F001AC" w:rsidRDefault="002A4EC4">
          <w:pPr>
            <w:pStyle w:val="Sadraj3"/>
            <w:rPr>
              <w:rFonts w:asciiTheme="minorHAnsi" w:eastAsiaTheme="minorEastAsia" w:hAnsiTheme="minorHAnsi" w:cstheme="minorBidi"/>
              <w:i w:val="0"/>
              <w:iCs w:val="0"/>
              <w:sz w:val="22"/>
              <w:szCs w:val="22"/>
              <w:lang w:val="fr-FR"/>
            </w:rPr>
          </w:pPr>
          <w:hyperlink w:anchor="_Toc25229322" w:history="1">
            <w:r w:rsidR="00F001AC" w:rsidRPr="004A3420">
              <w:rPr>
                <w:rStyle w:val="Hiperveza"/>
              </w:rPr>
              <w:t>Trade unions and professional organisations</w:t>
            </w:r>
            <w:r w:rsidR="00F001AC">
              <w:rPr>
                <w:webHidden/>
              </w:rPr>
              <w:tab/>
            </w:r>
            <w:r w:rsidR="00F001AC">
              <w:rPr>
                <w:webHidden/>
              </w:rPr>
              <w:fldChar w:fldCharType="begin"/>
            </w:r>
            <w:r w:rsidR="00F001AC">
              <w:rPr>
                <w:webHidden/>
              </w:rPr>
              <w:instrText xml:space="preserve"> PAGEREF _Toc25229322 \h </w:instrText>
            </w:r>
            <w:r w:rsidR="00F001AC">
              <w:rPr>
                <w:webHidden/>
              </w:rPr>
            </w:r>
            <w:r w:rsidR="00F001AC">
              <w:rPr>
                <w:webHidden/>
              </w:rPr>
              <w:fldChar w:fldCharType="separate"/>
            </w:r>
            <w:r w:rsidR="00D245DB">
              <w:rPr>
                <w:webHidden/>
              </w:rPr>
              <w:t>33</w:t>
            </w:r>
            <w:r w:rsidR="00F001AC">
              <w:rPr>
                <w:webHidden/>
              </w:rPr>
              <w:fldChar w:fldCharType="end"/>
            </w:r>
          </w:hyperlink>
        </w:p>
        <w:p w14:paraId="2E9535FC" w14:textId="220B4F48" w:rsidR="00F001AC" w:rsidRDefault="002A4EC4">
          <w:pPr>
            <w:pStyle w:val="Sadraj2"/>
            <w:rPr>
              <w:rFonts w:asciiTheme="minorHAnsi" w:eastAsiaTheme="minorEastAsia" w:hAnsiTheme="minorHAnsi" w:cstheme="minorBidi"/>
              <w:smallCaps w:val="0"/>
              <w:noProof/>
              <w:sz w:val="22"/>
              <w:szCs w:val="22"/>
              <w:lang w:val="fr-FR"/>
            </w:rPr>
          </w:pPr>
          <w:hyperlink w:anchor="_Toc25229323" w:history="1">
            <w:r w:rsidR="00F001AC" w:rsidRPr="004A3420">
              <w:rPr>
                <w:rStyle w:val="Hiperveza"/>
                <w:noProof/>
              </w:rPr>
              <w:t>Anti-corruption and integrity policy</w:t>
            </w:r>
            <w:r w:rsidR="00F001AC">
              <w:rPr>
                <w:noProof/>
                <w:webHidden/>
              </w:rPr>
              <w:tab/>
            </w:r>
            <w:r w:rsidR="00F001AC">
              <w:rPr>
                <w:noProof/>
                <w:webHidden/>
              </w:rPr>
              <w:fldChar w:fldCharType="begin"/>
            </w:r>
            <w:r w:rsidR="00F001AC">
              <w:rPr>
                <w:noProof/>
                <w:webHidden/>
              </w:rPr>
              <w:instrText xml:space="preserve"> PAGEREF _Toc25229323 \h </w:instrText>
            </w:r>
            <w:r w:rsidR="00F001AC">
              <w:rPr>
                <w:noProof/>
                <w:webHidden/>
              </w:rPr>
            </w:r>
            <w:r w:rsidR="00F001AC">
              <w:rPr>
                <w:noProof/>
                <w:webHidden/>
              </w:rPr>
              <w:fldChar w:fldCharType="separate"/>
            </w:r>
            <w:r w:rsidR="00D245DB">
              <w:rPr>
                <w:noProof/>
                <w:webHidden/>
              </w:rPr>
              <w:t>33</w:t>
            </w:r>
            <w:r w:rsidR="00F001AC">
              <w:rPr>
                <w:noProof/>
                <w:webHidden/>
              </w:rPr>
              <w:fldChar w:fldCharType="end"/>
            </w:r>
          </w:hyperlink>
        </w:p>
        <w:p w14:paraId="2D44D818" w14:textId="4BB494CE" w:rsidR="00F001AC" w:rsidRDefault="002A4EC4">
          <w:pPr>
            <w:pStyle w:val="Sadraj3"/>
            <w:rPr>
              <w:rFonts w:asciiTheme="minorHAnsi" w:eastAsiaTheme="minorEastAsia" w:hAnsiTheme="minorHAnsi" w:cstheme="minorBidi"/>
              <w:i w:val="0"/>
              <w:iCs w:val="0"/>
              <w:sz w:val="22"/>
              <w:szCs w:val="22"/>
              <w:lang w:val="fr-FR"/>
            </w:rPr>
          </w:pPr>
          <w:hyperlink w:anchor="_Toc25229324" w:history="1">
            <w:r w:rsidR="00F001AC" w:rsidRPr="004A3420">
              <w:rPr>
                <w:rStyle w:val="Hiperveza"/>
              </w:rPr>
              <w:t>Anti-corruption strategy and implementation</w:t>
            </w:r>
            <w:r w:rsidR="00F001AC">
              <w:rPr>
                <w:webHidden/>
              </w:rPr>
              <w:tab/>
            </w:r>
            <w:r w:rsidR="00F001AC">
              <w:rPr>
                <w:webHidden/>
              </w:rPr>
              <w:fldChar w:fldCharType="begin"/>
            </w:r>
            <w:r w:rsidR="00F001AC">
              <w:rPr>
                <w:webHidden/>
              </w:rPr>
              <w:instrText xml:space="preserve"> PAGEREF _Toc25229324 \h </w:instrText>
            </w:r>
            <w:r w:rsidR="00F001AC">
              <w:rPr>
                <w:webHidden/>
              </w:rPr>
            </w:r>
            <w:r w:rsidR="00F001AC">
              <w:rPr>
                <w:webHidden/>
              </w:rPr>
              <w:fldChar w:fldCharType="separate"/>
            </w:r>
            <w:r w:rsidR="00D245DB">
              <w:rPr>
                <w:webHidden/>
              </w:rPr>
              <w:t>33</w:t>
            </w:r>
            <w:r w:rsidR="00F001AC">
              <w:rPr>
                <w:webHidden/>
              </w:rPr>
              <w:fldChar w:fldCharType="end"/>
            </w:r>
          </w:hyperlink>
        </w:p>
        <w:p w14:paraId="4522D880" w14:textId="4A6B9023" w:rsidR="00F001AC" w:rsidRDefault="002A4EC4">
          <w:pPr>
            <w:pStyle w:val="Sadraj3"/>
            <w:rPr>
              <w:rFonts w:asciiTheme="minorHAnsi" w:eastAsiaTheme="minorEastAsia" w:hAnsiTheme="minorHAnsi" w:cstheme="minorBidi"/>
              <w:i w:val="0"/>
              <w:iCs w:val="0"/>
              <w:sz w:val="22"/>
              <w:szCs w:val="22"/>
              <w:lang w:val="fr-FR"/>
            </w:rPr>
          </w:pPr>
          <w:hyperlink w:anchor="_Toc25229325" w:history="1">
            <w:r w:rsidR="00F001AC" w:rsidRPr="004A3420">
              <w:rPr>
                <w:rStyle w:val="Hiperveza"/>
              </w:rPr>
              <w:t>Risk management measures for corruption prone areas</w:t>
            </w:r>
            <w:r w:rsidR="00F001AC">
              <w:rPr>
                <w:webHidden/>
              </w:rPr>
              <w:tab/>
            </w:r>
            <w:r w:rsidR="00F001AC">
              <w:rPr>
                <w:webHidden/>
              </w:rPr>
              <w:fldChar w:fldCharType="begin"/>
            </w:r>
            <w:r w:rsidR="00F001AC">
              <w:rPr>
                <w:webHidden/>
              </w:rPr>
              <w:instrText xml:space="preserve"> PAGEREF _Toc25229325 \h </w:instrText>
            </w:r>
            <w:r w:rsidR="00F001AC">
              <w:rPr>
                <w:webHidden/>
              </w:rPr>
            </w:r>
            <w:r w:rsidR="00F001AC">
              <w:rPr>
                <w:webHidden/>
              </w:rPr>
              <w:fldChar w:fldCharType="separate"/>
            </w:r>
            <w:r w:rsidR="00D245DB">
              <w:rPr>
                <w:webHidden/>
              </w:rPr>
              <w:t>33</w:t>
            </w:r>
            <w:r w:rsidR="00F001AC">
              <w:rPr>
                <w:webHidden/>
              </w:rPr>
              <w:fldChar w:fldCharType="end"/>
            </w:r>
          </w:hyperlink>
        </w:p>
        <w:p w14:paraId="64D880C9" w14:textId="3F32ED84" w:rsidR="00F001AC" w:rsidRDefault="002A4EC4">
          <w:pPr>
            <w:pStyle w:val="Sadraj3"/>
            <w:rPr>
              <w:rFonts w:asciiTheme="minorHAnsi" w:eastAsiaTheme="minorEastAsia" w:hAnsiTheme="minorHAnsi" w:cstheme="minorBidi"/>
              <w:i w:val="0"/>
              <w:iCs w:val="0"/>
              <w:sz w:val="22"/>
              <w:szCs w:val="22"/>
              <w:lang w:val="fr-FR"/>
            </w:rPr>
          </w:pPr>
          <w:hyperlink w:anchor="_Toc25229326" w:history="1">
            <w:r w:rsidR="00F001AC" w:rsidRPr="004A3420">
              <w:rPr>
                <w:rStyle w:val="Hiperveza"/>
              </w:rPr>
              <w:t>Handling undercover operations and contacts with informants and witnesses</w:t>
            </w:r>
            <w:r w:rsidR="00F001AC">
              <w:rPr>
                <w:webHidden/>
              </w:rPr>
              <w:tab/>
            </w:r>
            <w:r w:rsidR="00F001AC">
              <w:rPr>
                <w:webHidden/>
              </w:rPr>
              <w:fldChar w:fldCharType="begin"/>
            </w:r>
            <w:r w:rsidR="00F001AC">
              <w:rPr>
                <w:webHidden/>
              </w:rPr>
              <w:instrText xml:space="preserve"> PAGEREF _Toc25229326 \h </w:instrText>
            </w:r>
            <w:r w:rsidR="00F001AC">
              <w:rPr>
                <w:webHidden/>
              </w:rPr>
            </w:r>
            <w:r w:rsidR="00F001AC">
              <w:rPr>
                <w:webHidden/>
              </w:rPr>
              <w:fldChar w:fldCharType="separate"/>
            </w:r>
            <w:r w:rsidR="00D245DB">
              <w:rPr>
                <w:webHidden/>
              </w:rPr>
              <w:t>35</w:t>
            </w:r>
            <w:r w:rsidR="00F001AC">
              <w:rPr>
                <w:webHidden/>
              </w:rPr>
              <w:fldChar w:fldCharType="end"/>
            </w:r>
          </w:hyperlink>
        </w:p>
        <w:p w14:paraId="60D19A80" w14:textId="0AA6A7EA" w:rsidR="00F001AC" w:rsidRDefault="002A4EC4">
          <w:pPr>
            <w:pStyle w:val="Sadraj3"/>
            <w:rPr>
              <w:rFonts w:asciiTheme="minorHAnsi" w:eastAsiaTheme="minorEastAsia" w:hAnsiTheme="minorHAnsi" w:cstheme="minorBidi"/>
              <w:i w:val="0"/>
              <w:iCs w:val="0"/>
              <w:sz w:val="22"/>
              <w:szCs w:val="22"/>
              <w:lang w:val="fr-FR"/>
            </w:rPr>
          </w:pPr>
          <w:hyperlink w:anchor="_Toc25229327" w:history="1">
            <w:r w:rsidR="00F001AC" w:rsidRPr="004A3420">
              <w:rPr>
                <w:rStyle w:val="Hiperveza"/>
              </w:rPr>
              <w:t>Ethical principles and rules of conduct</w:t>
            </w:r>
            <w:r w:rsidR="00F001AC">
              <w:rPr>
                <w:webHidden/>
              </w:rPr>
              <w:tab/>
            </w:r>
            <w:r w:rsidR="00F001AC">
              <w:rPr>
                <w:webHidden/>
              </w:rPr>
              <w:fldChar w:fldCharType="begin"/>
            </w:r>
            <w:r w:rsidR="00F001AC">
              <w:rPr>
                <w:webHidden/>
              </w:rPr>
              <w:instrText xml:space="preserve"> PAGEREF _Toc25229327 \h </w:instrText>
            </w:r>
            <w:r w:rsidR="00F001AC">
              <w:rPr>
                <w:webHidden/>
              </w:rPr>
            </w:r>
            <w:r w:rsidR="00F001AC">
              <w:rPr>
                <w:webHidden/>
              </w:rPr>
              <w:fldChar w:fldCharType="separate"/>
            </w:r>
            <w:r w:rsidR="00D245DB">
              <w:rPr>
                <w:webHidden/>
              </w:rPr>
              <w:t>35</w:t>
            </w:r>
            <w:r w:rsidR="00F001AC">
              <w:rPr>
                <w:webHidden/>
              </w:rPr>
              <w:fldChar w:fldCharType="end"/>
            </w:r>
          </w:hyperlink>
        </w:p>
        <w:p w14:paraId="64210786" w14:textId="3C5EF17A" w:rsidR="00F001AC" w:rsidRDefault="002A4EC4">
          <w:pPr>
            <w:pStyle w:val="Sadraj3"/>
            <w:rPr>
              <w:rFonts w:asciiTheme="minorHAnsi" w:eastAsiaTheme="minorEastAsia" w:hAnsiTheme="minorHAnsi" w:cstheme="minorBidi"/>
              <w:i w:val="0"/>
              <w:iCs w:val="0"/>
              <w:sz w:val="22"/>
              <w:szCs w:val="22"/>
              <w:lang w:val="fr-FR"/>
            </w:rPr>
          </w:pPr>
          <w:hyperlink w:anchor="_Toc25229328" w:history="1">
            <w:r w:rsidR="00F001AC" w:rsidRPr="004A3420">
              <w:rPr>
                <w:rStyle w:val="Hiperveza"/>
              </w:rPr>
              <w:t>Advice, training and awareness</w:t>
            </w:r>
            <w:r w:rsidR="00F001AC">
              <w:rPr>
                <w:webHidden/>
              </w:rPr>
              <w:tab/>
            </w:r>
            <w:r w:rsidR="00F001AC">
              <w:rPr>
                <w:webHidden/>
              </w:rPr>
              <w:fldChar w:fldCharType="begin"/>
            </w:r>
            <w:r w:rsidR="00F001AC">
              <w:rPr>
                <w:webHidden/>
              </w:rPr>
              <w:instrText xml:space="preserve"> PAGEREF _Toc25229328 \h </w:instrText>
            </w:r>
            <w:r w:rsidR="00F001AC">
              <w:rPr>
                <w:webHidden/>
              </w:rPr>
            </w:r>
            <w:r w:rsidR="00F001AC">
              <w:rPr>
                <w:webHidden/>
              </w:rPr>
              <w:fldChar w:fldCharType="separate"/>
            </w:r>
            <w:r w:rsidR="00D245DB">
              <w:rPr>
                <w:webHidden/>
              </w:rPr>
              <w:t>37</w:t>
            </w:r>
            <w:r w:rsidR="00F001AC">
              <w:rPr>
                <w:webHidden/>
              </w:rPr>
              <w:fldChar w:fldCharType="end"/>
            </w:r>
          </w:hyperlink>
        </w:p>
        <w:p w14:paraId="622A9684" w14:textId="219C3D2F" w:rsidR="00F001AC" w:rsidRDefault="002A4EC4">
          <w:pPr>
            <w:pStyle w:val="Sadraj2"/>
            <w:rPr>
              <w:rFonts w:asciiTheme="minorHAnsi" w:eastAsiaTheme="minorEastAsia" w:hAnsiTheme="minorHAnsi" w:cstheme="minorBidi"/>
              <w:smallCaps w:val="0"/>
              <w:noProof/>
              <w:sz w:val="22"/>
              <w:szCs w:val="22"/>
              <w:lang w:val="fr-FR"/>
            </w:rPr>
          </w:pPr>
          <w:hyperlink w:anchor="_Toc25229329" w:history="1">
            <w:r w:rsidR="00F001AC" w:rsidRPr="004A3420">
              <w:rPr>
                <w:rStyle w:val="Hiperveza"/>
                <w:noProof/>
              </w:rPr>
              <w:t>Recruitment, career and conditions of service</w:t>
            </w:r>
            <w:r w:rsidR="00F001AC">
              <w:rPr>
                <w:noProof/>
                <w:webHidden/>
              </w:rPr>
              <w:tab/>
            </w:r>
            <w:r w:rsidR="00F001AC">
              <w:rPr>
                <w:noProof/>
                <w:webHidden/>
              </w:rPr>
              <w:fldChar w:fldCharType="begin"/>
            </w:r>
            <w:r w:rsidR="00F001AC">
              <w:rPr>
                <w:noProof/>
                <w:webHidden/>
              </w:rPr>
              <w:instrText xml:space="preserve"> PAGEREF _Toc25229329 \h </w:instrText>
            </w:r>
            <w:r w:rsidR="00F001AC">
              <w:rPr>
                <w:noProof/>
                <w:webHidden/>
              </w:rPr>
            </w:r>
            <w:r w:rsidR="00F001AC">
              <w:rPr>
                <w:noProof/>
                <w:webHidden/>
              </w:rPr>
              <w:fldChar w:fldCharType="separate"/>
            </w:r>
            <w:r w:rsidR="00D245DB">
              <w:rPr>
                <w:noProof/>
                <w:webHidden/>
              </w:rPr>
              <w:t>38</w:t>
            </w:r>
            <w:r w:rsidR="00F001AC">
              <w:rPr>
                <w:noProof/>
                <w:webHidden/>
              </w:rPr>
              <w:fldChar w:fldCharType="end"/>
            </w:r>
          </w:hyperlink>
        </w:p>
        <w:p w14:paraId="16DD22F1" w14:textId="2BB8232E" w:rsidR="00F001AC" w:rsidRDefault="002A4EC4">
          <w:pPr>
            <w:pStyle w:val="Sadraj3"/>
            <w:rPr>
              <w:rFonts w:asciiTheme="minorHAnsi" w:eastAsiaTheme="minorEastAsia" w:hAnsiTheme="minorHAnsi" w:cstheme="minorBidi"/>
              <w:i w:val="0"/>
              <w:iCs w:val="0"/>
              <w:sz w:val="22"/>
              <w:szCs w:val="22"/>
              <w:lang w:val="fr-FR"/>
            </w:rPr>
          </w:pPr>
          <w:hyperlink w:anchor="_Toc25229330" w:history="1">
            <w:r w:rsidR="00F001AC" w:rsidRPr="004A3420">
              <w:rPr>
                <w:rStyle w:val="Hiperveza"/>
              </w:rPr>
              <w:t>Appointment procedure</w:t>
            </w:r>
            <w:r w:rsidR="00F001AC">
              <w:rPr>
                <w:webHidden/>
              </w:rPr>
              <w:tab/>
            </w:r>
            <w:r w:rsidR="00F001AC">
              <w:rPr>
                <w:webHidden/>
              </w:rPr>
              <w:fldChar w:fldCharType="begin"/>
            </w:r>
            <w:r w:rsidR="00F001AC">
              <w:rPr>
                <w:webHidden/>
              </w:rPr>
              <w:instrText xml:space="preserve"> PAGEREF _Toc25229330 \h </w:instrText>
            </w:r>
            <w:r w:rsidR="00F001AC">
              <w:rPr>
                <w:webHidden/>
              </w:rPr>
            </w:r>
            <w:r w:rsidR="00F001AC">
              <w:rPr>
                <w:webHidden/>
              </w:rPr>
              <w:fldChar w:fldCharType="separate"/>
            </w:r>
            <w:r w:rsidR="00D245DB">
              <w:rPr>
                <w:webHidden/>
              </w:rPr>
              <w:t>38</w:t>
            </w:r>
            <w:r w:rsidR="00F001AC">
              <w:rPr>
                <w:webHidden/>
              </w:rPr>
              <w:fldChar w:fldCharType="end"/>
            </w:r>
          </w:hyperlink>
        </w:p>
        <w:p w14:paraId="3C923AFD" w14:textId="48D256D8" w:rsidR="00F001AC" w:rsidRDefault="002A4EC4">
          <w:pPr>
            <w:pStyle w:val="Sadraj3"/>
            <w:rPr>
              <w:rFonts w:asciiTheme="minorHAnsi" w:eastAsiaTheme="minorEastAsia" w:hAnsiTheme="minorHAnsi" w:cstheme="minorBidi"/>
              <w:i w:val="0"/>
              <w:iCs w:val="0"/>
              <w:sz w:val="22"/>
              <w:szCs w:val="22"/>
              <w:lang w:val="fr-FR"/>
            </w:rPr>
          </w:pPr>
          <w:hyperlink w:anchor="_Toc25229331" w:history="1">
            <w:r w:rsidR="00F001AC" w:rsidRPr="004A3420">
              <w:rPr>
                <w:rStyle w:val="Hiperveza"/>
              </w:rPr>
              <w:t>Performance evaluation and promotion to a higher rank, transfers</w:t>
            </w:r>
            <w:r w:rsidR="00F001AC">
              <w:rPr>
                <w:webHidden/>
              </w:rPr>
              <w:tab/>
            </w:r>
            <w:r w:rsidR="00F001AC">
              <w:rPr>
                <w:webHidden/>
              </w:rPr>
              <w:fldChar w:fldCharType="begin"/>
            </w:r>
            <w:r w:rsidR="00F001AC">
              <w:rPr>
                <w:webHidden/>
              </w:rPr>
              <w:instrText xml:space="preserve"> PAGEREF _Toc25229331 \h </w:instrText>
            </w:r>
            <w:r w:rsidR="00F001AC">
              <w:rPr>
                <w:webHidden/>
              </w:rPr>
            </w:r>
            <w:r w:rsidR="00F001AC">
              <w:rPr>
                <w:webHidden/>
              </w:rPr>
              <w:fldChar w:fldCharType="separate"/>
            </w:r>
            <w:r w:rsidR="00D245DB">
              <w:rPr>
                <w:webHidden/>
              </w:rPr>
              <w:t>39</w:t>
            </w:r>
            <w:r w:rsidR="00F001AC">
              <w:rPr>
                <w:webHidden/>
              </w:rPr>
              <w:fldChar w:fldCharType="end"/>
            </w:r>
          </w:hyperlink>
        </w:p>
        <w:p w14:paraId="50EDC1AB" w14:textId="2EAF692E" w:rsidR="00F001AC" w:rsidRDefault="002A4EC4">
          <w:pPr>
            <w:pStyle w:val="Sadraj3"/>
            <w:rPr>
              <w:rFonts w:asciiTheme="minorHAnsi" w:eastAsiaTheme="minorEastAsia" w:hAnsiTheme="minorHAnsi" w:cstheme="minorBidi"/>
              <w:i w:val="0"/>
              <w:iCs w:val="0"/>
              <w:sz w:val="22"/>
              <w:szCs w:val="22"/>
              <w:lang w:val="fr-FR"/>
            </w:rPr>
          </w:pPr>
          <w:hyperlink w:anchor="_Toc25229332" w:history="1">
            <w:r w:rsidR="00F001AC" w:rsidRPr="004A3420">
              <w:rPr>
                <w:rStyle w:val="Hiperveza"/>
              </w:rPr>
              <w:t>Rotation</w:t>
            </w:r>
            <w:r w:rsidR="00F001AC">
              <w:rPr>
                <w:webHidden/>
              </w:rPr>
              <w:tab/>
            </w:r>
            <w:r w:rsidR="00F001AC">
              <w:rPr>
                <w:webHidden/>
              </w:rPr>
              <w:fldChar w:fldCharType="begin"/>
            </w:r>
            <w:r w:rsidR="00F001AC">
              <w:rPr>
                <w:webHidden/>
              </w:rPr>
              <w:instrText xml:space="preserve"> PAGEREF _Toc25229332 \h </w:instrText>
            </w:r>
            <w:r w:rsidR="00F001AC">
              <w:rPr>
                <w:webHidden/>
              </w:rPr>
            </w:r>
            <w:r w:rsidR="00F001AC">
              <w:rPr>
                <w:webHidden/>
              </w:rPr>
              <w:fldChar w:fldCharType="separate"/>
            </w:r>
            <w:r w:rsidR="00D245DB">
              <w:rPr>
                <w:webHidden/>
              </w:rPr>
              <w:t>41</w:t>
            </w:r>
            <w:r w:rsidR="00F001AC">
              <w:rPr>
                <w:webHidden/>
              </w:rPr>
              <w:fldChar w:fldCharType="end"/>
            </w:r>
          </w:hyperlink>
        </w:p>
        <w:p w14:paraId="4C2B9B15" w14:textId="119234ED" w:rsidR="00F001AC" w:rsidRDefault="002A4EC4">
          <w:pPr>
            <w:pStyle w:val="Sadraj3"/>
            <w:rPr>
              <w:rFonts w:asciiTheme="minorHAnsi" w:eastAsiaTheme="minorEastAsia" w:hAnsiTheme="minorHAnsi" w:cstheme="minorBidi"/>
              <w:i w:val="0"/>
              <w:iCs w:val="0"/>
              <w:sz w:val="22"/>
              <w:szCs w:val="22"/>
              <w:lang w:val="fr-FR"/>
            </w:rPr>
          </w:pPr>
          <w:hyperlink w:anchor="_Toc25229333" w:history="1">
            <w:r w:rsidR="00F001AC" w:rsidRPr="004A3420">
              <w:rPr>
                <w:rStyle w:val="Hiperveza"/>
              </w:rPr>
              <w:t>Salaries and benefits</w:t>
            </w:r>
            <w:r w:rsidR="00F001AC">
              <w:rPr>
                <w:webHidden/>
              </w:rPr>
              <w:tab/>
            </w:r>
            <w:r w:rsidR="00F001AC">
              <w:rPr>
                <w:webHidden/>
              </w:rPr>
              <w:fldChar w:fldCharType="begin"/>
            </w:r>
            <w:r w:rsidR="00F001AC">
              <w:rPr>
                <w:webHidden/>
              </w:rPr>
              <w:instrText xml:space="preserve"> PAGEREF _Toc25229333 \h </w:instrText>
            </w:r>
            <w:r w:rsidR="00F001AC">
              <w:rPr>
                <w:webHidden/>
              </w:rPr>
            </w:r>
            <w:r w:rsidR="00F001AC">
              <w:rPr>
                <w:webHidden/>
              </w:rPr>
              <w:fldChar w:fldCharType="separate"/>
            </w:r>
            <w:r w:rsidR="00D245DB">
              <w:rPr>
                <w:webHidden/>
              </w:rPr>
              <w:t>41</w:t>
            </w:r>
            <w:r w:rsidR="00F001AC">
              <w:rPr>
                <w:webHidden/>
              </w:rPr>
              <w:fldChar w:fldCharType="end"/>
            </w:r>
          </w:hyperlink>
        </w:p>
        <w:p w14:paraId="3FE945ED" w14:textId="6BE3000C" w:rsidR="00F001AC" w:rsidRDefault="002A4EC4">
          <w:pPr>
            <w:pStyle w:val="Sadraj2"/>
            <w:rPr>
              <w:rFonts w:asciiTheme="minorHAnsi" w:eastAsiaTheme="minorEastAsia" w:hAnsiTheme="minorHAnsi" w:cstheme="minorBidi"/>
              <w:smallCaps w:val="0"/>
              <w:noProof/>
              <w:sz w:val="22"/>
              <w:szCs w:val="22"/>
              <w:lang w:val="fr-FR"/>
            </w:rPr>
          </w:pPr>
          <w:hyperlink w:anchor="_Toc25229334" w:history="1">
            <w:r w:rsidR="00F001AC" w:rsidRPr="004A3420">
              <w:rPr>
                <w:rStyle w:val="Hiperveza"/>
                <w:noProof/>
              </w:rPr>
              <w:t>Conflicts of interest</w:t>
            </w:r>
            <w:r w:rsidR="00F001AC">
              <w:rPr>
                <w:noProof/>
                <w:webHidden/>
              </w:rPr>
              <w:tab/>
            </w:r>
            <w:r w:rsidR="00F001AC">
              <w:rPr>
                <w:noProof/>
                <w:webHidden/>
              </w:rPr>
              <w:fldChar w:fldCharType="begin"/>
            </w:r>
            <w:r w:rsidR="00F001AC">
              <w:rPr>
                <w:noProof/>
                <w:webHidden/>
              </w:rPr>
              <w:instrText xml:space="preserve"> PAGEREF _Toc25229334 \h </w:instrText>
            </w:r>
            <w:r w:rsidR="00F001AC">
              <w:rPr>
                <w:noProof/>
                <w:webHidden/>
              </w:rPr>
            </w:r>
            <w:r w:rsidR="00F001AC">
              <w:rPr>
                <w:noProof/>
                <w:webHidden/>
              </w:rPr>
              <w:fldChar w:fldCharType="separate"/>
            </w:r>
            <w:r w:rsidR="00D245DB">
              <w:rPr>
                <w:noProof/>
                <w:webHidden/>
              </w:rPr>
              <w:t>42</w:t>
            </w:r>
            <w:r w:rsidR="00F001AC">
              <w:rPr>
                <w:noProof/>
                <w:webHidden/>
              </w:rPr>
              <w:fldChar w:fldCharType="end"/>
            </w:r>
          </w:hyperlink>
        </w:p>
        <w:p w14:paraId="732C7202" w14:textId="701F29B6" w:rsidR="00F001AC" w:rsidRDefault="002A4EC4">
          <w:pPr>
            <w:pStyle w:val="Sadraj2"/>
            <w:rPr>
              <w:rFonts w:asciiTheme="minorHAnsi" w:eastAsiaTheme="minorEastAsia" w:hAnsiTheme="minorHAnsi" w:cstheme="minorBidi"/>
              <w:smallCaps w:val="0"/>
              <w:noProof/>
              <w:sz w:val="22"/>
              <w:szCs w:val="22"/>
              <w:lang w:val="fr-FR"/>
            </w:rPr>
          </w:pPr>
          <w:hyperlink w:anchor="_Toc25229335" w:history="1">
            <w:r w:rsidR="00F001AC" w:rsidRPr="004A3420">
              <w:rPr>
                <w:rStyle w:val="Hiperveza"/>
                <w:noProof/>
              </w:rPr>
              <w:t>Prohibition or restriction of certain activities</w:t>
            </w:r>
            <w:r w:rsidR="00F001AC">
              <w:rPr>
                <w:noProof/>
                <w:webHidden/>
              </w:rPr>
              <w:tab/>
            </w:r>
            <w:r w:rsidR="00F001AC">
              <w:rPr>
                <w:noProof/>
                <w:webHidden/>
              </w:rPr>
              <w:fldChar w:fldCharType="begin"/>
            </w:r>
            <w:r w:rsidR="00F001AC">
              <w:rPr>
                <w:noProof/>
                <w:webHidden/>
              </w:rPr>
              <w:instrText xml:space="preserve"> PAGEREF _Toc25229335 \h </w:instrText>
            </w:r>
            <w:r w:rsidR="00F001AC">
              <w:rPr>
                <w:noProof/>
                <w:webHidden/>
              </w:rPr>
            </w:r>
            <w:r w:rsidR="00F001AC">
              <w:rPr>
                <w:noProof/>
                <w:webHidden/>
              </w:rPr>
              <w:fldChar w:fldCharType="separate"/>
            </w:r>
            <w:r w:rsidR="00D245DB">
              <w:rPr>
                <w:noProof/>
                <w:webHidden/>
              </w:rPr>
              <w:t>42</w:t>
            </w:r>
            <w:r w:rsidR="00F001AC">
              <w:rPr>
                <w:noProof/>
                <w:webHidden/>
              </w:rPr>
              <w:fldChar w:fldCharType="end"/>
            </w:r>
          </w:hyperlink>
        </w:p>
        <w:p w14:paraId="0B1E998F" w14:textId="3D4D2D64" w:rsidR="00F001AC" w:rsidRDefault="002A4EC4">
          <w:pPr>
            <w:pStyle w:val="Sadraj3"/>
            <w:rPr>
              <w:rFonts w:asciiTheme="minorHAnsi" w:eastAsiaTheme="minorEastAsia" w:hAnsiTheme="minorHAnsi" w:cstheme="minorBidi"/>
              <w:i w:val="0"/>
              <w:iCs w:val="0"/>
              <w:sz w:val="22"/>
              <w:szCs w:val="22"/>
              <w:lang w:val="fr-FR"/>
            </w:rPr>
          </w:pPr>
          <w:hyperlink w:anchor="_Toc25229336" w:history="1">
            <w:r w:rsidR="00F001AC" w:rsidRPr="004A3420">
              <w:rPr>
                <w:rStyle w:val="Hiperveza"/>
              </w:rPr>
              <w:t>Incompatibilities, outside activities and post-employment restrictions</w:t>
            </w:r>
            <w:r w:rsidR="00F001AC">
              <w:rPr>
                <w:webHidden/>
              </w:rPr>
              <w:tab/>
            </w:r>
            <w:r w:rsidR="00F001AC">
              <w:rPr>
                <w:webHidden/>
              </w:rPr>
              <w:fldChar w:fldCharType="begin"/>
            </w:r>
            <w:r w:rsidR="00F001AC">
              <w:rPr>
                <w:webHidden/>
              </w:rPr>
              <w:instrText xml:space="preserve"> PAGEREF _Toc25229336 \h </w:instrText>
            </w:r>
            <w:r w:rsidR="00F001AC">
              <w:rPr>
                <w:webHidden/>
              </w:rPr>
            </w:r>
            <w:r w:rsidR="00F001AC">
              <w:rPr>
                <w:webHidden/>
              </w:rPr>
              <w:fldChar w:fldCharType="separate"/>
            </w:r>
            <w:r w:rsidR="00D245DB">
              <w:rPr>
                <w:webHidden/>
              </w:rPr>
              <w:t>42</w:t>
            </w:r>
            <w:r w:rsidR="00F001AC">
              <w:rPr>
                <w:webHidden/>
              </w:rPr>
              <w:fldChar w:fldCharType="end"/>
            </w:r>
          </w:hyperlink>
        </w:p>
        <w:p w14:paraId="2FF5CCE8" w14:textId="3FE0EF60" w:rsidR="00F001AC" w:rsidRDefault="002A4EC4">
          <w:pPr>
            <w:pStyle w:val="Sadraj3"/>
            <w:rPr>
              <w:rFonts w:asciiTheme="minorHAnsi" w:eastAsiaTheme="minorEastAsia" w:hAnsiTheme="minorHAnsi" w:cstheme="minorBidi"/>
              <w:i w:val="0"/>
              <w:iCs w:val="0"/>
              <w:sz w:val="22"/>
              <w:szCs w:val="22"/>
              <w:lang w:val="fr-FR"/>
            </w:rPr>
          </w:pPr>
          <w:hyperlink w:anchor="_Toc25229337" w:history="1">
            <w:r w:rsidR="00F001AC" w:rsidRPr="004A3420">
              <w:rPr>
                <w:rStyle w:val="Hiperveza"/>
              </w:rPr>
              <w:t>Gifts</w:t>
            </w:r>
            <w:r w:rsidR="00F001AC">
              <w:rPr>
                <w:webHidden/>
              </w:rPr>
              <w:tab/>
            </w:r>
            <w:r w:rsidR="00F001AC">
              <w:rPr>
                <w:webHidden/>
              </w:rPr>
              <w:fldChar w:fldCharType="begin"/>
            </w:r>
            <w:r w:rsidR="00F001AC">
              <w:rPr>
                <w:webHidden/>
              </w:rPr>
              <w:instrText xml:space="preserve"> PAGEREF _Toc25229337 \h </w:instrText>
            </w:r>
            <w:r w:rsidR="00F001AC">
              <w:rPr>
                <w:webHidden/>
              </w:rPr>
            </w:r>
            <w:r w:rsidR="00F001AC">
              <w:rPr>
                <w:webHidden/>
              </w:rPr>
              <w:fldChar w:fldCharType="separate"/>
            </w:r>
            <w:r w:rsidR="00D245DB">
              <w:rPr>
                <w:webHidden/>
              </w:rPr>
              <w:t>44</w:t>
            </w:r>
            <w:r w:rsidR="00F001AC">
              <w:rPr>
                <w:webHidden/>
              </w:rPr>
              <w:fldChar w:fldCharType="end"/>
            </w:r>
          </w:hyperlink>
        </w:p>
        <w:p w14:paraId="03C29E7A" w14:textId="16E11F2E" w:rsidR="00F001AC" w:rsidRDefault="002A4EC4">
          <w:pPr>
            <w:pStyle w:val="Sadraj3"/>
            <w:rPr>
              <w:rFonts w:asciiTheme="minorHAnsi" w:eastAsiaTheme="minorEastAsia" w:hAnsiTheme="minorHAnsi" w:cstheme="minorBidi"/>
              <w:i w:val="0"/>
              <w:iCs w:val="0"/>
              <w:sz w:val="22"/>
              <w:szCs w:val="22"/>
              <w:lang w:val="fr-FR"/>
            </w:rPr>
          </w:pPr>
          <w:hyperlink w:anchor="_Toc25229338" w:history="1">
            <w:r w:rsidR="00F001AC" w:rsidRPr="004A3420">
              <w:rPr>
                <w:rStyle w:val="Hiperveza"/>
              </w:rPr>
              <w:t>Misuse of public resources</w:t>
            </w:r>
            <w:r w:rsidR="00F001AC">
              <w:rPr>
                <w:webHidden/>
              </w:rPr>
              <w:tab/>
            </w:r>
            <w:r w:rsidR="00F001AC">
              <w:rPr>
                <w:webHidden/>
              </w:rPr>
              <w:fldChar w:fldCharType="begin"/>
            </w:r>
            <w:r w:rsidR="00F001AC">
              <w:rPr>
                <w:webHidden/>
              </w:rPr>
              <w:instrText xml:space="preserve"> PAGEREF _Toc25229338 \h </w:instrText>
            </w:r>
            <w:r w:rsidR="00F001AC">
              <w:rPr>
                <w:webHidden/>
              </w:rPr>
            </w:r>
            <w:r w:rsidR="00F001AC">
              <w:rPr>
                <w:webHidden/>
              </w:rPr>
              <w:fldChar w:fldCharType="separate"/>
            </w:r>
            <w:r w:rsidR="00D245DB">
              <w:rPr>
                <w:webHidden/>
              </w:rPr>
              <w:t>44</w:t>
            </w:r>
            <w:r w:rsidR="00F001AC">
              <w:rPr>
                <w:webHidden/>
              </w:rPr>
              <w:fldChar w:fldCharType="end"/>
            </w:r>
          </w:hyperlink>
        </w:p>
        <w:p w14:paraId="5C4658A7" w14:textId="5EFB2BA4" w:rsidR="00F001AC" w:rsidRDefault="002A4EC4">
          <w:pPr>
            <w:pStyle w:val="Sadraj3"/>
            <w:rPr>
              <w:rFonts w:asciiTheme="minorHAnsi" w:eastAsiaTheme="minorEastAsia" w:hAnsiTheme="minorHAnsi" w:cstheme="minorBidi"/>
              <w:i w:val="0"/>
              <w:iCs w:val="0"/>
              <w:sz w:val="22"/>
              <w:szCs w:val="22"/>
              <w:lang w:val="fr-FR"/>
            </w:rPr>
          </w:pPr>
          <w:hyperlink w:anchor="_Toc25229339" w:history="1">
            <w:r w:rsidR="00F001AC" w:rsidRPr="004A3420">
              <w:rPr>
                <w:rStyle w:val="Hiperveza"/>
              </w:rPr>
              <w:t>Third party contacts, confidential information</w:t>
            </w:r>
            <w:r w:rsidR="00F001AC">
              <w:rPr>
                <w:webHidden/>
              </w:rPr>
              <w:tab/>
            </w:r>
            <w:r w:rsidR="00F001AC">
              <w:rPr>
                <w:webHidden/>
              </w:rPr>
              <w:fldChar w:fldCharType="begin"/>
            </w:r>
            <w:r w:rsidR="00F001AC">
              <w:rPr>
                <w:webHidden/>
              </w:rPr>
              <w:instrText xml:space="preserve"> PAGEREF _Toc25229339 \h </w:instrText>
            </w:r>
            <w:r w:rsidR="00F001AC">
              <w:rPr>
                <w:webHidden/>
              </w:rPr>
            </w:r>
            <w:r w:rsidR="00F001AC">
              <w:rPr>
                <w:webHidden/>
              </w:rPr>
              <w:fldChar w:fldCharType="separate"/>
            </w:r>
            <w:r w:rsidR="00D245DB">
              <w:rPr>
                <w:webHidden/>
              </w:rPr>
              <w:t>44</w:t>
            </w:r>
            <w:r w:rsidR="00F001AC">
              <w:rPr>
                <w:webHidden/>
              </w:rPr>
              <w:fldChar w:fldCharType="end"/>
            </w:r>
          </w:hyperlink>
        </w:p>
        <w:p w14:paraId="11C3F090" w14:textId="06999D3F" w:rsidR="00F001AC" w:rsidRDefault="002A4EC4">
          <w:pPr>
            <w:pStyle w:val="Sadraj2"/>
            <w:rPr>
              <w:rFonts w:asciiTheme="minorHAnsi" w:eastAsiaTheme="minorEastAsia" w:hAnsiTheme="minorHAnsi" w:cstheme="minorBidi"/>
              <w:smallCaps w:val="0"/>
              <w:noProof/>
              <w:sz w:val="22"/>
              <w:szCs w:val="22"/>
              <w:lang w:val="fr-FR"/>
            </w:rPr>
          </w:pPr>
          <w:hyperlink w:anchor="_Toc25229340" w:history="1">
            <w:r w:rsidR="00F001AC" w:rsidRPr="004A3420">
              <w:rPr>
                <w:rStyle w:val="Hiperveza"/>
                <w:noProof/>
              </w:rPr>
              <w:t>Declaration of assets, income, liabilities and interests</w:t>
            </w:r>
            <w:r w:rsidR="00F001AC">
              <w:rPr>
                <w:noProof/>
                <w:webHidden/>
              </w:rPr>
              <w:tab/>
            </w:r>
            <w:r w:rsidR="00F001AC">
              <w:rPr>
                <w:noProof/>
                <w:webHidden/>
              </w:rPr>
              <w:fldChar w:fldCharType="begin"/>
            </w:r>
            <w:r w:rsidR="00F001AC">
              <w:rPr>
                <w:noProof/>
                <w:webHidden/>
              </w:rPr>
              <w:instrText xml:space="preserve"> PAGEREF _Toc25229340 \h </w:instrText>
            </w:r>
            <w:r w:rsidR="00F001AC">
              <w:rPr>
                <w:noProof/>
                <w:webHidden/>
              </w:rPr>
            </w:r>
            <w:r w:rsidR="00F001AC">
              <w:rPr>
                <w:noProof/>
                <w:webHidden/>
              </w:rPr>
              <w:fldChar w:fldCharType="separate"/>
            </w:r>
            <w:r w:rsidR="00D245DB">
              <w:rPr>
                <w:noProof/>
                <w:webHidden/>
              </w:rPr>
              <w:t>45</w:t>
            </w:r>
            <w:r w:rsidR="00F001AC">
              <w:rPr>
                <w:noProof/>
                <w:webHidden/>
              </w:rPr>
              <w:fldChar w:fldCharType="end"/>
            </w:r>
          </w:hyperlink>
        </w:p>
        <w:p w14:paraId="24F07B63" w14:textId="0157F594" w:rsidR="00F001AC" w:rsidRDefault="002A4EC4">
          <w:pPr>
            <w:pStyle w:val="Sadraj3"/>
            <w:rPr>
              <w:rFonts w:asciiTheme="minorHAnsi" w:eastAsiaTheme="minorEastAsia" w:hAnsiTheme="minorHAnsi" w:cstheme="minorBidi"/>
              <w:i w:val="0"/>
              <w:iCs w:val="0"/>
              <w:sz w:val="22"/>
              <w:szCs w:val="22"/>
              <w:lang w:val="fr-FR"/>
            </w:rPr>
          </w:pPr>
          <w:hyperlink w:anchor="_Toc25229341" w:history="1">
            <w:r w:rsidR="00F001AC" w:rsidRPr="004A3420">
              <w:rPr>
                <w:rStyle w:val="Hiperveza"/>
              </w:rPr>
              <w:t>Declaration requirements</w:t>
            </w:r>
            <w:r w:rsidR="00F001AC">
              <w:rPr>
                <w:webHidden/>
              </w:rPr>
              <w:tab/>
            </w:r>
            <w:r w:rsidR="00F001AC">
              <w:rPr>
                <w:webHidden/>
              </w:rPr>
              <w:fldChar w:fldCharType="begin"/>
            </w:r>
            <w:r w:rsidR="00F001AC">
              <w:rPr>
                <w:webHidden/>
              </w:rPr>
              <w:instrText xml:space="preserve"> PAGEREF _Toc25229341 \h </w:instrText>
            </w:r>
            <w:r w:rsidR="00F001AC">
              <w:rPr>
                <w:webHidden/>
              </w:rPr>
            </w:r>
            <w:r w:rsidR="00F001AC">
              <w:rPr>
                <w:webHidden/>
              </w:rPr>
              <w:fldChar w:fldCharType="separate"/>
            </w:r>
            <w:r w:rsidR="00D245DB">
              <w:rPr>
                <w:webHidden/>
              </w:rPr>
              <w:t>45</w:t>
            </w:r>
            <w:r w:rsidR="00F001AC">
              <w:rPr>
                <w:webHidden/>
              </w:rPr>
              <w:fldChar w:fldCharType="end"/>
            </w:r>
          </w:hyperlink>
        </w:p>
        <w:p w14:paraId="38BA4BD9" w14:textId="4CCBFC5F" w:rsidR="00F001AC" w:rsidRDefault="002A4EC4">
          <w:pPr>
            <w:pStyle w:val="Sadraj2"/>
            <w:rPr>
              <w:rFonts w:asciiTheme="minorHAnsi" w:eastAsiaTheme="minorEastAsia" w:hAnsiTheme="minorHAnsi" w:cstheme="minorBidi"/>
              <w:smallCaps w:val="0"/>
              <w:noProof/>
              <w:sz w:val="22"/>
              <w:szCs w:val="22"/>
              <w:lang w:val="fr-FR"/>
            </w:rPr>
          </w:pPr>
          <w:hyperlink w:anchor="_Toc25229342" w:history="1">
            <w:r w:rsidR="00F001AC" w:rsidRPr="004A3420">
              <w:rPr>
                <w:rStyle w:val="Hiperveza"/>
                <w:noProof/>
              </w:rPr>
              <w:t>Oversight and enforcement</w:t>
            </w:r>
            <w:r w:rsidR="00F001AC">
              <w:rPr>
                <w:noProof/>
                <w:webHidden/>
              </w:rPr>
              <w:tab/>
            </w:r>
            <w:r w:rsidR="00F001AC">
              <w:rPr>
                <w:noProof/>
                <w:webHidden/>
              </w:rPr>
              <w:fldChar w:fldCharType="begin"/>
            </w:r>
            <w:r w:rsidR="00F001AC">
              <w:rPr>
                <w:noProof/>
                <w:webHidden/>
              </w:rPr>
              <w:instrText xml:space="preserve"> PAGEREF _Toc25229342 \h </w:instrText>
            </w:r>
            <w:r w:rsidR="00F001AC">
              <w:rPr>
                <w:noProof/>
                <w:webHidden/>
              </w:rPr>
            </w:r>
            <w:r w:rsidR="00F001AC">
              <w:rPr>
                <w:noProof/>
                <w:webHidden/>
              </w:rPr>
              <w:fldChar w:fldCharType="separate"/>
            </w:r>
            <w:r w:rsidR="00D245DB">
              <w:rPr>
                <w:noProof/>
                <w:webHidden/>
              </w:rPr>
              <w:t>45</w:t>
            </w:r>
            <w:r w:rsidR="00F001AC">
              <w:rPr>
                <w:noProof/>
                <w:webHidden/>
              </w:rPr>
              <w:fldChar w:fldCharType="end"/>
            </w:r>
          </w:hyperlink>
        </w:p>
        <w:p w14:paraId="5DFC973A" w14:textId="7FDCF782" w:rsidR="00F001AC" w:rsidRDefault="002A4EC4">
          <w:pPr>
            <w:pStyle w:val="Sadraj3"/>
            <w:rPr>
              <w:rFonts w:asciiTheme="minorHAnsi" w:eastAsiaTheme="minorEastAsia" w:hAnsiTheme="minorHAnsi" w:cstheme="minorBidi"/>
              <w:i w:val="0"/>
              <w:iCs w:val="0"/>
              <w:sz w:val="22"/>
              <w:szCs w:val="22"/>
              <w:lang w:val="fr-FR"/>
            </w:rPr>
          </w:pPr>
          <w:hyperlink w:anchor="_Toc25229343" w:history="1">
            <w:r w:rsidR="00F001AC" w:rsidRPr="004A3420">
              <w:rPr>
                <w:rStyle w:val="Hiperveza"/>
              </w:rPr>
              <w:t>Internal oversight and control</w:t>
            </w:r>
            <w:r w:rsidR="00F001AC">
              <w:rPr>
                <w:webHidden/>
              </w:rPr>
              <w:tab/>
            </w:r>
            <w:r w:rsidR="00F001AC">
              <w:rPr>
                <w:webHidden/>
              </w:rPr>
              <w:fldChar w:fldCharType="begin"/>
            </w:r>
            <w:r w:rsidR="00F001AC">
              <w:rPr>
                <w:webHidden/>
              </w:rPr>
              <w:instrText xml:space="preserve"> PAGEREF _Toc25229343 \h </w:instrText>
            </w:r>
            <w:r w:rsidR="00F001AC">
              <w:rPr>
                <w:webHidden/>
              </w:rPr>
            </w:r>
            <w:r w:rsidR="00F001AC">
              <w:rPr>
                <w:webHidden/>
              </w:rPr>
              <w:fldChar w:fldCharType="separate"/>
            </w:r>
            <w:r w:rsidR="00D245DB">
              <w:rPr>
                <w:webHidden/>
              </w:rPr>
              <w:t>45</w:t>
            </w:r>
            <w:r w:rsidR="00F001AC">
              <w:rPr>
                <w:webHidden/>
              </w:rPr>
              <w:fldChar w:fldCharType="end"/>
            </w:r>
          </w:hyperlink>
        </w:p>
        <w:p w14:paraId="3E426C47" w14:textId="29A7D9C7" w:rsidR="00F001AC" w:rsidRDefault="002A4EC4">
          <w:pPr>
            <w:pStyle w:val="Sadraj3"/>
            <w:rPr>
              <w:rFonts w:asciiTheme="minorHAnsi" w:eastAsiaTheme="minorEastAsia" w:hAnsiTheme="minorHAnsi" w:cstheme="minorBidi"/>
              <w:i w:val="0"/>
              <w:iCs w:val="0"/>
              <w:sz w:val="22"/>
              <w:szCs w:val="22"/>
              <w:lang w:val="fr-FR"/>
            </w:rPr>
          </w:pPr>
          <w:hyperlink w:anchor="_Toc25229344" w:history="1">
            <w:r w:rsidR="00F001AC" w:rsidRPr="004A3420">
              <w:rPr>
                <w:rStyle w:val="Hiperveza"/>
              </w:rPr>
              <w:t>External oversight and control</w:t>
            </w:r>
            <w:r w:rsidR="00F001AC">
              <w:rPr>
                <w:webHidden/>
              </w:rPr>
              <w:tab/>
            </w:r>
            <w:r w:rsidR="00F001AC">
              <w:rPr>
                <w:webHidden/>
              </w:rPr>
              <w:fldChar w:fldCharType="begin"/>
            </w:r>
            <w:r w:rsidR="00F001AC">
              <w:rPr>
                <w:webHidden/>
              </w:rPr>
              <w:instrText xml:space="preserve"> PAGEREF _Toc25229344 \h </w:instrText>
            </w:r>
            <w:r w:rsidR="00F001AC">
              <w:rPr>
                <w:webHidden/>
              </w:rPr>
            </w:r>
            <w:r w:rsidR="00F001AC">
              <w:rPr>
                <w:webHidden/>
              </w:rPr>
              <w:fldChar w:fldCharType="separate"/>
            </w:r>
            <w:r w:rsidR="00D245DB">
              <w:rPr>
                <w:webHidden/>
              </w:rPr>
              <w:t>46</w:t>
            </w:r>
            <w:r w:rsidR="00F001AC">
              <w:rPr>
                <w:webHidden/>
              </w:rPr>
              <w:fldChar w:fldCharType="end"/>
            </w:r>
          </w:hyperlink>
        </w:p>
        <w:p w14:paraId="1540C254" w14:textId="76A03B86" w:rsidR="00F001AC" w:rsidRDefault="002A4EC4">
          <w:pPr>
            <w:pStyle w:val="Sadraj3"/>
            <w:rPr>
              <w:rFonts w:asciiTheme="minorHAnsi" w:eastAsiaTheme="minorEastAsia" w:hAnsiTheme="minorHAnsi" w:cstheme="minorBidi"/>
              <w:i w:val="0"/>
              <w:iCs w:val="0"/>
              <w:sz w:val="22"/>
              <w:szCs w:val="22"/>
              <w:lang w:val="fr-FR"/>
            </w:rPr>
          </w:pPr>
          <w:hyperlink w:anchor="_Toc25229345" w:history="1">
            <w:r w:rsidR="00F001AC" w:rsidRPr="004A3420">
              <w:rPr>
                <w:rStyle w:val="Hiperveza"/>
              </w:rPr>
              <w:t>Complaint system</w:t>
            </w:r>
            <w:r w:rsidR="00F001AC">
              <w:rPr>
                <w:webHidden/>
              </w:rPr>
              <w:tab/>
            </w:r>
            <w:r w:rsidR="00F001AC">
              <w:rPr>
                <w:webHidden/>
              </w:rPr>
              <w:fldChar w:fldCharType="begin"/>
            </w:r>
            <w:r w:rsidR="00F001AC">
              <w:rPr>
                <w:webHidden/>
              </w:rPr>
              <w:instrText xml:space="preserve"> PAGEREF _Toc25229345 \h </w:instrText>
            </w:r>
            <w:r w:rsidR="00F001AC">
              <w:rPr>
                <w:webHidden/>
              </w:rPr>
            </w:r>
            <w:r w:rsidR="00F001AC">
              <w:rPr>
                <w:webHidden/>
              </w:rPr>
              <w:fldChar w:fldCharType="separate"/>
            </w:r>
            <w:r w:rsidR="00D245DB">
              <w:rPr>
                <w:webHidden/>
              </w:rPr>
              <w:t>47</w:t>
            </w:r>
            <w:r w:rsidR="00F001AC">
              <w:rPr>
                <w:webHidden/>
              </w:rPr>
              <w:fldChar w:fldCharType="end"/>
            </w:r>
          </w:hyperlink>
        </w:p>
        <w:p w14:paraId="706BBE85" w14:textId="1317E2EC" w:rsidR="00F001AC" w:rsidRDefault="002A4EC4">
          <w:pPr>
            <w:pStyle w:val="Sadraj2"/>
            <w:rPr>
              <w:rFonts w:asciiTheme="minorHAnsi" w:eastAsiaTheme="minorEastAsia" w:hAnsiTheme="minorHAnsi" w:cstheme="minorBidi"/>
              <w:smallCaps w:val="0"/>
              <w:noProof/>
              <w:sz w:val="22"/>
              <w:szCs w:val="22"/>
              <w:lang w:val="fr-FR"/>
            </w:rPr>
          </w:pPr>
          <w:hyperlink w:anchor="_Toc25229346" w:history="1">
            <w:r w:rsidR="00F001AC" w:rsidRPr="004A3420">
              <w:rPr>
                <w:rStyle w:val="Hiperveza"/>
                <w:noProof/>
              </w:rPr>
              <w:t>Reporting obligations and whistleblower protection</w:t>
            </w:r>
            <w:r w:rsidR="00F001AC">
              <w:rPr>
                <w:noProof/>
                <w:webHidden/>
              </w:rPr>
              <w:tab/>
            </w:r>
            <w:r w:rsidR="00F001AC">
              <w:rPr>
                <w:noProof/>
                <w:webHidden/>
              </w:rPr>
              <w:fldChar w:fldCharType="begin"/>
            </w:r>
            <w:r w:rsidR="00F001AC">
              <w:rPr>
                <w:noProof/>
                <w:webHidden/>
              </w:rPr>
              <w:instrText xml:space="preserve"> PAGEREF _Toc25229346 \h </w:instrText>
            </w:r>
            <w:r w:rsidR="00F001AC">
              <w:rPr>
                <w:noProof/>
                <w:webHidden/>
              </w:rPr>
            </w:r>
            <w:r w:rsidR="00F001AC">
              <w:rPr>
                <w:noProof/>
                <w:webHidden/>
              </w:rPr>
              <w:fldChar w:fldCharType="separate"/>
            </w:r>
            <w:r w:rsidR="00D245DB">
              <w:rPr>
                <w:noProof/>
                <w:webHidden/>
              </w:rPr>
              <w:t>48</w:t>
            </w:r>
            <w:r w:rsidR="00F001AC">
              <w:rPr>
                <w:noProof/>
                <w:webHidden/>
              </w:rPr>
              <w:fldChar w:fldCharType="end"/>
            </w:r>
          </w:hyperlink>
        </w:p>
        <w:p w14:paraId="7078E262" w14:textId="73A34214" w:rsidR="00F001AC" w:rsidRDefault="002A4EC4">
          <w:pPr>
            <w:pStyle w:val="Sadraj3"/>
            <w:rPr>
              <w:rFonts w:asciiTheme="minorHAnsi" w:eastAsiaTheme="minorEastAsia" w:hAnsiTheme="minorHAnsi" w:cstheme="minorBidi"/>
              <w:i w:val="0"/>
              <w:iCs w:val="0"/>
              <w:sz w:val="22"/>
              <w:szCs w:val="22"/>
              <w:lang w:val="fr-FR"/>
            </w:rPr>
          </w:pPr>
          <w:hyperlink w:anchor="_Toc25229347" w:history="1">
            <w:r w:rsidR="00F001AC" w:rsidRPr="004A3420">
              <w:rPr>
                <w:rStyle w:val="Hiperveza"/>
              </w:rPr>
              <w:t>Reporting obligations</w:t>
            </w:r>
            <w:r w:rsidR="00F001AC">
              <w:rPr>
                <w:webHidden/>
              </w:rPr>
              <w:tab/>
            </w:r>
            <w:r w:rsidR="00F001AC">
              <w:rPr>
                <w:webHidden/>
              </w:rPr>
              <w:fldChar w:fldCharType="begin"/>
            </w:r>
            <w:r w:rsidR="00F001AC">
              <w:rPr>
                <w:webHidden/>
              </w:rPr>
              <w:instrText xml:space="preserve"> PAGEREF _Toc25229347 \h </w:instrText>
            </w:r>
            <w:r w:rsidR="00F001AC">
              <w:rPr>
                <w:webHidden/>
              </w:rPr>
            </w:r>
            <w:r w:rsidR="00F001AC">
              <w:rPr>
                <w:webHidden/>
              </w:rPr>
              <w:fldChar w:fldCharType="separate"/>
            </w:r>
            <w:r w:rsidR="00D245DB">
              <w:rPr>
                <w:webHidden/>
              </w:rPr>
              <w:t>48</w:t>
            </w:r>
            <w:r w:rsidR="00F001AC">
              <w:rPr>
                <w:webHidden/>
              </w:rPr>
              <w:fldChar w:fldCharType="end"/>
            </w:r>
          </w:hyperlink>
        </w:p>
        <w:p w14:paraId="6891C35C" w14:textId="0963FFE7" w:rsidR="00F001AC" w:rsidRDefault="002A4EC4">
          <w:pPr>
            <w:pStyle w:val="Sadraj3"/>
            <w:rPr>
              <w:rFonts w:asciiTheme="minorHAnsi" w:eastAsiaTheme="minorEastAsia" w:hAnsiTheme="minorHAnsi" w:cstheme="minorBidi"/>
              <w:i w:val="0"/>
              <w:iCs w:val="0"/>
              <w:sz w:val="22"/>
              <w:szCs w:val="22"/>
              <w:lang w:val="fr-FR"/>
            </w:rPr>
          </w:pPr>
          <w:hyperlink w:anchor="_Toc25229348" w:history="1">
            <w:r w:rsidR="00F001AC" w:rsidRPr="004A3420">
              <w:rPr>
                <w:rStyle w:val="Hiperveza"/>
              </w:rPr>
              <w:t>Whistleblower protection</w:t>
            </w:r>
            <w:r w:rsidR="00F001AC">
              <w:rPr>
                <w:webHidden/>
              </w:rPr>
              <w:tab/>
            </w:r>
            <w:r w:rsidR="00F001AC">
              <w:rPr>
                <w:webHidden/>
              </w:rPr>
              <w:fldChar w:fldCharType="begin"/>
            </w:r>
            <w:r w:rsidR="00F001AC">
              <w:rPr>
                <w:webHidden/>
              </w:rPr>
              <w:instrText xml:space="preserve"> PAGEREF _Toc25229348 \h </w:instrText>
            </w:r>
            <w:r w:rsidR="00F001AC">
              <w:rPr>
                <w:webHidden/>
              </w:rPr>
            </w:r>
            <w:r w:rsidR="00F001AC">
              <w:rPr>
                <w:webHidden/>
              </w:rPr>
              <w:fldChar w:fldCharType="separate"/>
            </w:r>
            <w:r w:rsidR="00D245DB">
              <w:rPr>
                <w:webHidden/>
              </w:rPr>
              <w:t>48</w:t>
            </w:r>
            <w:r w:rsidR="00F001AC">
              <w:rPr>
                <w:webHidden/>
              </w:rPr>
              <w:fldChar w:fldCharType="end"/>
            </w:r>
          </w:hyperlink>
        </w:p>
        <w:p w14:paraId="3B0080B5" w14:textId="592877D6" w:rsidR="00F001AC" w:rsidRDefault="002A4EC4">
          <w:pPr>
            <w:pStyle w:val="Sadraj2"/>
            <w:rPr>
              <w:rFonts w:asciiTheme="minorHAnsi" w:eastAsiaTheme="minorEastAsia" w:hAnsiTheme="minorHAnsi" w:cstheme="minorBidi"/>
              <w:smallCaps w:val="0"/>
              <w:noProof/>
              <w:sz w:val="22"/>
              <w:szCs w:val="22"/>
              <w:lang w:val="fr-FR"/>
            </w:rPr>
          </w:pPr>
          <w:hyperlink w:anchor="_Toc25229349" w:history="1">
            <w:r w:rsidR="00F001AC" w:rsidRPr="004A3420">
              <w:rPr>
                <w:rStyle w:val="Hiperveza"/>
                <w:noProof/>
              </w:rPr>
              <w:t>Enforcement procedure and sanctions</w:t>
            </w:r>
            <w:r w:rsidR="00F001AC">
              <w:rPr>
                <w:noProof/>
                <w:webHidden/>
              </w:rPr>
              <w:tab/>
            </w:r>
            <w:r w:rsidR="00F001AC">
              <w:rPr>
                <w:noProof/>
                <w:webHidden/>
              </w:rPr>
              <w:fldChar w:fldCharType="begin"/>
            </w:r>
            <w:r w:rsidR="00F001AC">
              <w:rPr>
                <w:noProof/>
                <w:webHidden/>
              </w:rPr>
              <w:instrText xml:space="preserve"> PAGEREF _Toc25229349 \h </w:instrText>
            </w:r>
            <w:r w:rsidR="00F001AC">
              <w:rPr>
                <w:noProof/>
                <w:webHidden/>
              </w:rPr>
            </w:r>
            <w:r w:rsidR="00F001AC">
              <w:rPr>
                <w:noProof/>
                <w:webHidden/>
              </w:rPr>
              <w:fldChar w:fldCharType="separate"/>
            </w:r>
            <w:r w:rsidR="00D245DB">
              <w:rPr>
                <w:noProof/>
                <w:webHidden/>
              </w:rPr>
              <w:t>49</w:t>
            </w:r>
            <w:r w:rsidR="00F001AC">
              <w:rPr>
                <w:noProof/>
                <w:webHidden/>
              </w:rPr>
              <w:fldChar w:fldCharType="end"/>
            </w:r>
          </w:hyperlink>
        </w:p>
        <w:p w14:paraId="1D5662E4" w14:textId="538CAEFC" w:rsidR="00F001AC" w:rsidRDefault="002A4EC4">
          <w:pPr>
            <w:pStyle w:val="Sadraj3"/>
            <w:rPr>
              <w:rFonts w:asciiTheme="minorHAnsi" w:eastAsiaTheme="minorEastAsia" w:hAnsiTheme="minorHAnsi" w:cstheme="minorBidi"/>
              <w:i w:val="0"/>
              <w:iCs w:val="0"/>
              <w:sz w:val="22"/>
              <w:szCs w:val="22"/>
              <w:lang w:val="fr-FR"/>
            </w:rPr>
          </w:pPr>
          <w:hyperlink w:anchor="_Toc25229350" w:history="1">
            <w:r w:rsidR="00F001AC" w:rsidRPr="004A3420">
              <w:rPr>
                <w:rStyle w:val="Hiperveza"/>
              </w:rPr>
              <w:t>Disciplinary and other administrative proceedings</w:t>
            </w:r>
            <w:r w:rsidR="00F001AC">
              <w:rPr>
                <w:webHidden/>
              </w:rPr>
              <w:tab/>
            </w:r>
            <w:r w:rsidR="00F001AC">
              <w:rPr>
                <w:webHidden/>
              </w:rPr>
              <w:fldChar w:fldCharType="begin"/>
            </w:r>
            <w:r w:rsidR="00F001AC">
              <w:rPr>
                <w:webHidden/>
              </w:rPr>
              <w:instrText xml:space="preserve"> PAGEREF _Toc25229350 \h </w:instrText>
            </w:r>
            <w:r w:rsidR="00F001AC">
              <w:rPr>
                <w:webHidden/>
              </w:rPr>
            </w:r>
            <w:r w:rsidR="00F001AC">
              <w:rPr>
                <w:webHidden/>
              </w:rPr>
              <w:fldChar w:fldCharType="separate"/>
            </w:r>
            <w:r w:rsidR="00D245DB">
              <w:rPr>
                <w:webHidden/>
              </w:rPr>
              <w:t>49</w:t>
            </w:r>
            <w:r w:rsidR="00F001AC">
              <w:rPr>
                <w:webHidden/>
              </w:rPr>
              <w:fldChar w:fldCharType="end"/>
            </w:r>
          </w:hyperlink>
        </w:p>
        <w:p w14:paraId="161C9514" w14:textId="7193BF74" w:rsidR="00F001AC" w:rsidRDefault="002A4EC4">
          <w:pPr>
            <w:pStyle w:val="Sadraj3"/>
            <w:rPr>
              <w:rFonts w:asciiTheme="minorHAnsi" w:eastAsiaTheme="minorEastAsia" w:hAnsiTheme="minorHAnsi" w:cstheme="minorBidi"/>
              <w:i w:val="0"/>
              <w:iCs w:val="0"/>
              <w:sz w:val="22"/>
              <w:szCs w:val="22"/>
              <w:lang w:val="fr-FR"/>
            </w:rPr>
          </w:pPr>
          <w:hyperlink w:anchor="_Toc25229351" w:history="1">
            <w:r w:rsidR="00F001AC" w:rsidRPr="004A3420">
              <w:rPr>
                <w:rStyle w:val="Hiperveza"/>
              </w:rPr>
              <w:t>Criminal proceedings and immunities</w:t>
            </w:r>
            <w:r w:rsidR="00F001AC">
              <w:rPr>
                <w:webHidden/>
              </w:rPr>
              <w:tab/>
            </w:r>
            <w:r w:rsidR="00F001AC">
              <w:rPr>
                <w:webHidden/>
              </w:rPr>
              <w:fldChar w:fldCharType="begin"/>
            </w:r>
            <w:r w:rsidR="00F001AC">
              <w:rPr>
                <w:webHidden/>
              </w:rPr>
              <w:instrText xml:space="preserve"> PAGEREF _Toc25229351 \h </w:instrText>
            </w:r>
            <w:r w:rsidR="00F001AC">
              <w:rPr>
                <w:webHidden/>
              </w:rPr>
            </w:r>
            <w:r w:rsidR="00F001AC">
              <w:rPr>
                <w:webHidden/>
              </w:rPr>
              <w:fldChar w:fldCharType="separate"/>
            </w:r>
            <w:r w:rsidR="00D245DB">
              <w:rPr>
                <w:webHidden/>
              </w:rPr>
              <w:t>50</w:t>
            </w:r>
            <w:r w:rsidR="00F001AC">
              <w:rPr>
                <w:webHidden/>
              </w:rPr>
              <w:fldChar w:fldCharType="end"/>
            </w:r>
          </w:hyperlink>
        </w:p>
        <w:p w14:paraId="618FE858" w14:textId="3B1937E1" w:rsidR="00F001AC" w:rsidRDefault="002A4EC4">
          <w:pPr>
            <w:pStyle w:val="Sadraj3"/>
            <w:rPr>
              <w:rFonts w:asciiTheme="minorHAnsi" w:eastAsiaTheme="minorEastAsia" w:hAnsiTheme="minorHAnsi" w:cstheme="minorBidi"/>
              <w:i w:val="0"/>
              <w:iCs w:val="0"/>
              <w:sz w:val="22"/>
              <w:szCs w:val="22"/>
              <w:lang w:val="fr-FR"/>
            </w:rPr>
          </w:pPr>
          <w:hyperlink w:anchor="_Toc25229352" w:history="1">
            <w:r w:rsidR="00F001AC" w:rsidRPr="004A3420">
              <w:rPr>
                <w:rStyle w:val="Hiperveza"/>
              </w:rPr>
              <w:t>Statistics</w:t>
            </w:r>
            <w:r w:rsidR="00F001AC">
              <w:rPr>
                <w:webHidden/>
              </w:rPr>
              <w:tab/>
            </w:r>
            <w:r w:rsidR="00F001AC">
              <w:rPr>
                <w:webHidden/>
              </w:rPr>
              <w:fldChar w:fldCharType="begin"/>
            </w:r>
            <w:r w:rsidR="00F001AC">
              <w:rPr>
                <w:webHidden/>
              </w:rPr>
              <w:instrText xml:space="preserve"> PAGEREF _Toc25229352 \h </w:instrText>
            </w:r>
            <w:r w:rsidR="00F001AC">
              <w:rPr>
                <w:webHidden/>
              </w:rPr>
            </w:r>
            <w:r w:rsidR="00F001AC">
              <w:rPr>
                <w:webHidden/>
              </w:rPr>
              <w:fldChar w:fldCharType="separate"/>
            </w:r>
            <w:r w:rsidR="00D245DB">
              <w:rPr>
                <w:webHidden/>
              </w:rPr>
              <w:t>51</w:t>
            </w:r>
            <w:r w:rsidR="00F001AC">
              <w:rPr>
                <w:webHidden/>
              </w:rPr>
              <w:fldChar w:fldCharType="end"/>
            </w:r>
          </w:hyperlink>
        </w:p>
        <w:p w14:paraId="68D16E21" w14:textId="2FCF61ED" w:rsidR="00F001AC" w:rsidRDefault="002A4EC4">
          <w:pPr>
            <w:pStyle w:val="Sadraj1"/>
            <w:rPr>
              <w:rFonts w:asciiTheme="minorHAnsi" w:eastAsiaTheme="minorEastAsia" w:hAnsiTheme="minorHAnsi" w:cstheme="minorBidi"/>
              <w:b w:val="0"/>
              <w:bCs w:val="0"/>
              <w:caps w:val="0"/>
              <w:noProof/>
              <w:sz w:val="22"/>
              <w:szCs w:val="22"/>
              <w:lang w:val="fr-FR"/>
            </w:rPr>
          </w:pPr>
          <w:hyperlink w:anchor="_Toc25229353" w:history="1">
            <w:r w:rsidR="00F001AC" w:rsidRPr="004A3420">
              <w:rPr>
                <w:rStyle w:val="Hiperveza"/>
                <w:noProof/>
              </w:rPr>
              <w:t>VI.</w:t>
            </w:r>
            <w:r w:rsidR="00F001AC">
              <w:rPr>
                <w:rFonts w:asciiTheme="minorHAnsi" w:eastAsiaTheme="minorEastAsia" w:hAnsiTheme="minorHAnsi" w:cstheme="minorBidi"/>
                <w:b w:val="0"/>
                <w:bCs w:val="0"/>
                <w:caps w:val="0"/>
                <w:noProof/>
                <w:sz w:val="22"/>
                <w:szCs w:val="22"/>
                <w:lang w:val="fr-FR"/>
              </w:rPr>
              <w:tab/>
            </w:r>
            <w:r w:rsidR="00F001AC" w:rsidRPr="004A3420">
              <w:rPr>
                <w:rStyle w:val="Hiperveza"/>
                <w:noProof/>
              </w:rPr>
              <w:t>RECOMMENDATIONS AND FOLLOW-UP</w:t>
            </w:r>
            <w:r w:rsidR="00F001AC">
              <w:rPr>
                <w:noProof/>
                <w:webHidden/>
              </w:rPr>
              <w:tab/>
            </w:r>
            <w:r w:rsidR="00F001AC">
              <w:rPr>
                <w:noProof/>
                <w:webHidden/>
              </w:rPr>
              <w:fldChar w:fldCharType="begin"/>
            </w:r>
            <w:r w:rsidR="00F001AC">
              <w:rPr>
                <w:noProof/>
                <w:webHidden/>
              </w:rPr>
              <w:instrText xml:space="preserve"> PAGEREF _Toc25229353 \h </w:instrText>
            </w:r>
            <w:r w:rsidR="00F001AC">
              <w:rPr>
                <w:noProof/>
                <w:webHidden/>
              </w:rPr>
            </w:r>
            <w:r w:rsidR="00F001AC">
              <w:rPr>
                <w:noProof/>
                <w:webHidden/>
              </w:rPr>
              <w:fldChar w:fldCharType="separate"/>
            </w:r>
            <w:r w:rsidR="00D245DB">
              <w:rPr>
                <w:noProof/>
                <w:webHidden/>
              </w:rPr>
              <w:t>53</w:t>
            </w:r>
            <w:r w:rsidR="00F001AC">
              <w:rPr>
                <w:noProof/>
                <w:webHidden/>
              </w:rPr>
              <w:fldChar w:fldCharType="end"/>
            </w:r>
          </w:hyperlink>
        </w:p>
        <w:p w14:paraId="571E86BB" w14:textId="740519BD" w:rsidR="00FB38AB" w:rsidRPr="000D4A19" w:rsidRDefault="00714ED8" w:rsidP="009919AC">
          <w:pPr>
            <w:pStyle w:val="Sadraj1"/>
          </w:pPr>
          <w:r w:rsidRPr="000D4A19">
            <w:fldChar w:fldCharType="end"/>
          </w:r>
        </w:p>
      </w:sdtContent>
    </w:sdt>
    <w:bookmarkEnd w:id="3"/>
    <w:bookmarkEnd w:id="2"/>
    <w:bookmarkEnd w:id="1"/>
    <w:p w14:paraId="4923AB38" w14:textId="77777777" w:rsidR="00FB38AB" w:rsidRPr="000D4A19" w:rsidRDefault="00FB38AB" w:rsidP="00AC5ECC">
      <w:pPr>
        <w:tabs>
          <w:tab w:val="left" w:pos="709"/>
        </w:tabs>
        <w:spacing w:after="0"/>
        <w:rPr>
          <w:rFonts w:eastAsia="Times New Roman"/>
          <w:b/>
          <w:bCs/>
          <w:sz w:val="20"/>
          <w:szCs w:val="20"/>
          <w:lang w:val="en-GB" w:eastAsia="fr-FR"/>
        </w:rPr>
      </w:pPr>
      <w:r w:rsidRPr="000D4A19">
        <w:rPr>
          <w:sz w:val="20"/>
          <w:szCs w:val="20"/>
          <w:lang w:val="en-GB"/>
        </w:rPr>
        <w:br w:type="page"/>
      </w:r>
    </w:p>
    <w:p w14:paraId="786C63C6" w14:textId="77777777" w:rsidR="00FB38AB" w:rsidRPr="000D4A19" w:rsidRDefault="00FB38AB" w:rsidP="004B7CAB">
      <w:pPr>
        <w:pStyle w:val="Naslov1"/>
        <w:keepNext w:val="0"/>
        <w:keepLines w:val="0"/>
        <w:tabs>
          <w:tab w:val="left" w:pos="709"/>
        </w:tabs>
        <w:spacing w:before="0" w:line="240" w:lineRule="auto"/>
        <w:rPr>
          <w:rFonts w:asciiTheme="minorHAnsi" w:hAnsiTheme="minorHAnsi"/>
          <w:color w:val="auto"/>
          <w:sz w:val="24"/>
          <w:szCs w:val="24"/>
          <w:lang w:val="en-GB"/>
        </w:rPr>
      </w:pPr>
      <w:bookmarkStart w:id="4" w:name="_Toc25229282"/>
      <w:r w:rsidRPr="000D4A19">
        <w:rPr>
          <w:rFonts w:asciiTheme="minorHAnsi" w:hAnsiTheme="minorHAnsi"/>
          <w:color w:val="auto"/>
          <w:sz w:val="24"/>
          <w:szCs w:val="24"/>
          <w:lang w:val="en-GB"/>
        </w:rPr>
        <w:lastRenderedPageBreak/>
        <w:t>I.</w:t>
      </w:r>
      <w:r w:rsidRPr="000D4A19">
        <w:rPr>
          <w:rFonts w:asciiTheme="minorHAnsi" w:hAnsiTheme="minorHAnsi"/>
          <w:color w:val="auto"/>
          <w:sz w:val="24"/>
          <w:szCs w:val="24"/>
          <w:lang w:val="en-GB"/>
        </w:rPr>
        <w:tab/>
      </w:r>
      <w:r w:rsidRPr="000D4A19">
        <w:rPr>
          <w:rFonts w:asciiTheme="minorHAnsi" w:hAnsiTheme="minorHAnsi"/>
          <w:color w:val="auto"/>
          <w:sz w:val="24"/>
          <w:szCs w:val="24"/>
          <w:u w:val="single"/>
          <w:lang w:val="en-GB"/>
        </w:rPr>
        <w:t>EXECUTIVE SUMMARY</w:t>
      </w:r>
      <w:bookmarkEnd w:id="4"/>
    </w:p>
    <w:sdt>
      <w:sdtPr>
        <w:rPr>
          <w:rFonts w:asciiTheme="minorHAnsi" w:eastAsiaTheme="minorHAnsi" w:hAnsiTheme="minorHAnsi" w:cstheme="minorBidi"/>
          <w:b w:val="0"/>
          <w:bCs w:val="0"/>
          <w:color w:val="auto"/>
          <w:sz w:val="22"/>
          <w:szCs w:val="22"/>
          <w:lang w:val="en-GB"/>
        </w:rPr>
        <w:tag w:val="{8CAF83AE-0876-4F7D-BECB-DBE37545C754}"/>
        <w:id w:val="428779858"/>
        <w:lock w:val="sdtLocked"/>
      </w:sdtPr>
      <w:sdtEndPr/>
      <w:sdtContent>
        <w:p w14:paraId="713C9A5D" w14:textId="77777777" w:rsidR="00FB38AB" w:rsidRPr="000D4A19" w:rsidRDefault="00FB38AB" w:rsidP="004B7CAB">
          <w:pPr>
            <w:pStyle w:val="Naslov1"/>
            <w:keepNext w:val="0"/>
            <w:keepLines w:val="0"/>
            <w:tabs>
              <w:tab w:val="left" w:pos="709"/>
            </w:tabs>
            <w:spacing w:before="0" w:line="240" w:lineRule="auto"/>
            <w:rPr>
              <w:rFonts w:asciiTheme="minorHAnsi" w:hAnsiTheme="minorHAnsi"/>
              <w:color w:val="auto"/>
              <w:sz w:val="24"/>
              <w:szCs w:val="24"/>
              <w:lang w:val="en-GB"/>
            </w:rPr>
          </w:pPr>
        </w:p>
        <w:p w14:paraId="3CFAD04E" w14:textId="2857D956" w:rsidR="00563CA1" w:rsidRDefault="00BC2665" w:rsidP="00D86359">
          <w:pPr>
            <w:numPr>
              <w:ilvl w:val="0"/>
              <w:numId w:val="1"/>
            </w:numPr>
            <w:tabs>
              <w:tab w:val="left" w:pos="709"/>
            </w:tabs>
            <w:spacing w:after="0" w:line="240" w:lineRule="auto"/>
            <w:ind w:left="0" w:firstLine="0"/>
            <w:jc w:val="both"/>
            <w:rPr>
              <w:sz w:val="24"/>
              <w:szCs w:val="24"/>
              <w:lang w:val="en-GB"/>
            </w:rPr>
          </w:pPr>
          <w:bookmarkStart w:id="5" w:name="_Hlk25164002"/>
          <w:r>
            <w:rPr>
              <w:sz w:val="24"/>
              <w:szCs w:val="24"/>
              <w:lang w:val="en-GB"/>
            </w:rPr>
            <w:t xml:space="preserve">This report evaluates the effectiveness of the framework in place in Croatia to prevent corruption amongst persons entrusted with </w:t>
          </w:r>
          <w:r w:rsidR="003E18F3">
            <w:rPr>
              <w:sz w:val="24"/>
              <w:szCs w:val="24"/>
              <w:lang w:val="en-GB"/>
            </w:rPr>
            <w:t xml:space="preserve">top executive functions, including members of the government, state secretaries and assistant ministers, and the Croatian police. It aims to support domestic endeavours to strengthen transparency, integrity and accountability in </w:t>
          </w:r>
          <w:r w:rsidR="00E32A6A">
            <w:rPr>
              <w:sz w:val="24"/>
              <w:szCs w:val="24"/>
              <w:lang w:val="en-GB"/>
            </w:rPr>
            <w:t xml:space="preserve">public life. </w:t>
          </w:r>
        </w:p>
        <w:p w14:paraId="590C562F" w14:textId="77777777" w:rsidR="00E455D5" w:rsidRDefault="00E455D5" w:rsidP="00D86359">
          <w:pPr>
            <w:tabs>
              <w:tab w:val="left" w:pos="709"/>
            </w:tabs>
            <w:spacing w:after="0" w:line="240" w:lineRule="auto"/>
            <w:jc w:val="both"/>
            <w:rPr>
              <w:sz w:val="24"/>
              <w:szCs w:val="24"/>
              <w:lang w:val="en-GB"/>
            </w:rPr>
          </w:pPr>
        </w:p>
        <w:p w14:paraId="6DB22B74" w14:textId="25733DB6" w:rsidR="002F16F6" w:rsidRDefault="00042AE6" w:rsidP="00D86359">
          <w:pPr>
            <w:numPr>
              <w:ilvl w:val="0"/>
              <w:numId w:val="1"/>
            </w:numPr>
            <w:tabs>
              <w:tab w:val="left" w:pos="709"/>
            </w:tabs>
            <w:spacing w:after="0" w:line="240" w:lineRule="auto"/>
            <w:ind w:left="0" w:firstLine="0"/>
            <w:jc w:val="both"/>
            <w:rPr>
              <w:sz w:val="24"/>
              <w:szCs w:val="24"/>
              <w:lang w:val="en-GB"/>
            </w:rPr>
          </w:pPr>
          <w:r w:rsidRPr="00960F3A">
            <w:rPr>
              <w:sz w:val="24"/>
              <w:szCs w:val="24"/>
              <w:lang w:val="en-GB"/>
            </w:rPr>
            <w:t xml:space="preserve">Overall, Croatia has a well-developed legal and policy </w:t>
          </w:r>
          <w:r w:rsidR="002F16F6" w:rsidRPr="00960F3A">
            <w:rPr>
              <w:sz w:val="24"/>
              <w:szCs w:val="24"/>
              <w:lang w:val="en-GB"/>
            </w:rPr>
            <w:t xml:space="preserve">arsenal </w:t>
          </w:r>
          <w:r w:rsidRPr="00960F3A">
            <w:rPr>
              <w:sz w:val="24"/>
              <w:szCs w:val="24"/>
              <w:lang w:val="en-GB"/>
            </w:rPr>
            <w:t xml:space="preserve">to </w:t>
          </w:r>
          <w:r w:rsidR="002F16F6" w:rsidRPr="00960F3A">
            <w:rPr>
              <w:sz w:val="24"/>
              <w:szCs w:val="24"/>
              <w:lang w:val="en-GB"/>
            </w:rPr>
            <w:t xml:space="preserve">promote integrity and </w:t>
          </w:r>
          <w:r w:rsidRPr="00960F3A">
            <w:rPr>
              <w:sz w:val="24"/>
              <w:szCs w:val="24"/>
              <w:lang w:val="en-GB"/>
            </w:rPr>
            <w:t>prevent corruption</w:t>
          </w:r>
          <w:r w:rsidR="002F16F6" w:rsidRPr="00960F3A">
            <w:rPr>
              <w:sz w:val="24"/>
              <w:szCs w:val="24"/>
              <w:lang w:val="en-GB"/>
            </w:rPr>
            <w:t xml:space="preserve"> in the public sector</w:t>
          </w:r>
          <w:r w:rsidRPr="00960F3A">
            <w:rPr>
              <w:sz w:val="24"/>
              <w:szCs w:val="24"/>
              <w:lang w:val="en-GB"/>
            </w:rPr>
            <w:t>. In 2015, it adopted an Anti-Corruption Strategy 2015-2020</w:t>
          </w:r>
          <w:r w:rsidR="002F16F6" w:rsidRPr="00960F3A">
            <w:rPr>
              <w:sz w:val="24"/>
              <w:szCs w:val="24"/>
              <w:lang w:val="en-GB"/>
            </w:rPr>
            <w:t xml:space="preserve">, </w:t>
          </w:r>
          <w:r w:rsidRPr="00960F3A">
            <w:rPr>
              <w:sz w:val="24"/>
              <w:szCs w:val="24"/>
              <w:lang w:val="en-GB"/>
            </w:rPr>
            <w:t xml:space="preserve">which </w:t>
          </w:r>
          <w:r w:rsidR="006D6982" w:rsidRPr="00960F3A">
            <w:rPr>
              <w:sz w:val="24"/>
              <w:szCs w:val="24"/>
              <w:lang w:val="en-GB"/>
            </w:rPr>
            <w:t>has the “integrity of the political system and administration” as one of its strategic themes</w:t>
          </w:r>
          <w:r w:rsidR="002F16F6" w:rsidRPr="00960F3A">
            <w:rPr>
              <w:sz w:val="24"/>
              <w:szCs w:val="24"/>
              <w:lang w:val="en-GB"/>
            </w:rPr>
            <w:t>, accompanied by</w:t>
          </w:r>
          <w:r w:rsidR="00105955">
            <w:rPr>
              <w:sz w:val="24"/>
              <w:szCs w:val="24"/>
              <w:lang w:val="en-GB"/>
            </w:rPr>
            <w:t xml:space="preserve"> more detailed two-yearly</w:t>
          </w:r>
          <w:r w:rsidR="002F16F6" w:rsidRPr="00960F3A">
            <w:rPr>
              <w:sz w:val="24"/>
              <w:szCs w:val="24"/>
              <w:lang w:val="en-GB"/>
            </w:rPr>
            <w:t xml:space="preserve"> Action Plans</w:t>
          </w:r>
          <w:r w:rsidRPr="00960F3A">
            <w:rPr>
              <w:sz w:val="24"/>
              <w:szCs w:val="24"/>
              <w:lang w:val="en-GB"/>
            </w:rPr>
            <w:t>.</w:t>
          </w:r>
          <w:r w:rsidR="00A14A43">
            <w:rPr>
              <w:sz w:val="24"/>
              <w:szCs w:val="24"/>
              <w:lang w:val="en-GB"/>
            </w:rPr>
            <w:t xml:space="preserve"> Furthermore</w:t>
          </w:r>
          <w:r w:rsidR="006D6982" w:rsidRPr="00960F3A">
            <w:rPr>
              <w:sz w:val="24"/>
              <w:szCs w:val="24"/>
              <w:lang w:val="en-GB"/>
            </w:rPr>
            <w:t>, the Law on the Prevention of Conflicts of Interest</w:t>
          </w:r>
          <w:r w:rsidR="006E2213" w:rsidRPr="00960F3A">
            <w:rPr>
              <w:sz w:val="24"/>
              <w:szCs w:val="24"/>
              <w:lang w:val="en-GB"/>
            </w:rPr>
            <w:t xml:space="preserve"> </w:t>
          </w:r>
          <w:r w:rsidR="006D6982" w:rsidRPr="00960F3A">
            <w:rPr>
              <w:sz w:val="24"/>
              <w:szCs w:val="24"/>
              <w:lang w:val="en-GB"/>
            </w:rPr>
            <w:t xml:space="preserve">contains detailed rules on conflicts of interest, incompatibilities, gifts and </w:t>
          </w:r>
          <w:r w:rsidR="00A975B9">
            <w:rPr>
              <w:sz w:val="24"/>
              <w:szCs w:val="24"/>
              <w:lang w:val="en-GB"/>
            </w:rPr>
            <w:t>financial</w:t>
          </w:r>
          <w:r w:rsidR="006D6982" w:rsidRPr="00960F3A">
            <w:rPr>
              <w:sz w:val="24"/>
              <w:szCs w:val="24"/>
              <w:lang w:val="en-GB"/>
            </w:rPr>
            <w:t xml:space="preserve"> declarations</w:t>
          </w:r>
          <w:r w:rsidR="002F16F6" w:rsidRPr="00960F3A">
            <w:rPr>
              <w:sz w:val="24"/>
              <w:szCs w:val="24"/>
              <w:lang w:val="en-GB"/>
            </w:rPr>
            <w:t xml:space="preserve">. Other important </w:t>
          </w:r>
          <w:r w:rsidR="00E66216">
            <w:rPr>
              <w:sz w:val="24"/>
              <w:szCs w:val="24"/>
              <w:lang w:val="en-GB"/>
            </w:rPr>
            <w:t xml:space="preserve">legislation </w:t>
          </w:r>
          <w:r w:rsidR="002F16F6" w:rsidRPr="00960F3A">
            <w:rPr>
              <w:sz w:val="24"/>
              <w:szCs w:val="24"/>
              <w:lang w:val="en-GB"/>
            </w:rPr>
            <w:t>include</w:t>
          </w:r>
          <w:r w:rsidR="00E66216">
            <w:rPr>
              <w:sz w:val="24"/>
              <w:szCs w:val="24"/>
              <w:lang w:val="en-GB"/>
            </w:rPr>
            <w:t>s</w:t>
          </w:r>
          <w:r w:rsidR="002F16F6" w:rsidRPr="00960F3A">
            <w:rPr>
              <w:sz w:val="24"/>
              <w:szCs w:val="24"/>
              <w:lang w:val="en-GB"/>
            </w:rPr>
            <w:t xml:space="preserve"> the Law on </w:t>
          </w:r>
          <w:r w:rsidR="0021714A" w:rsidRPr="00960F3A">
            <w:rPr>
              <w:sz w:val="24"/>
              <w:szCs w:val="24"/>
              <w:lang w:val="en-GB"/>
            </w:rPr>
            <w:t>the Right of Access to Information</w:t>
          </w:r>
          <w:r w:rsidR="002F16F6" w:rsidRPr="00960F3A">
            <w:rPr>
              <w:sz w:val="24"/>
              <w:szCs w:val="24"/>
              <w:lang w:val="en-GB"/>
            </w:rPr>
            <w:t xml:space="preserve"> </w:t>
          </w:r>
          <w:r w:rsidR="0021714A" w:rsidRPr="00960F3A">
            <w:rPr>
              <w:sz w:val="24"/>
              <w:szCs w:val="24"/>
              <w:lang w:val="en-GB"/>
            </w:rPr>
            <w:t xml:space="preserve">and </w:t>
          </w:r>
          <w:r w:rsidR="002F16F6" w:rsidRPr="00960F3A">
            <w:rPr>
              <w:sz w:val="24"/>
              <w:szCs w:val="24"/>
              <w:lang w:val="en-GB"/>
            </w:rPr>
            <w:t>t</w:t>
          </w:r>
          <w:r w:rsidR="0021714A" w:rsidRPr="00960F3A">
            <w:rPr>
              <w:sz w:val="24"/>
              <w:szCs w:val="24"/>
              <w:lang w:val="en-GB"/>
            </w:rPr>
            <w:t xml:space="preserve">he recently-adopted </w:t>
          </w:r>
          <w:r w:rsidR="00E66216">
            <w:rPr>
              <w:sz w:val="24"/>
              <w:szCs w:val="24"/>
              <w:lang w:val="en-GB"/>
            </w:rPr>
            <w:t>law on whistleblowers</w:t>
          </w:r>
          <w:r w:rsidR="0021714A" w:rsidRPr="00960F3A">
            <w:rPr>
              <w:sz w:val="24"/>
              <w:szCs w:val="24"/>
              <w:lang w:val="en-GB"/>
            </w:rPr>
            <w:t xml:space="preserve">. </w:t>
          </w:r>
          <w:r w:rsidR="00E66216">
            <w:rPr>
              <w:sz w:val="24"/>
              <w:szCs w:val="24"/>
              <w:lang w:val="en-GB"/>
            </w:rPr>
            <w:t>Th</w:t>
          </w:r>
          <w:r w:rsidR="002F16F6" w:rsidRPr="00960F3A">
            <w:rPr>
              <w:sz w:val="24"/>
              <w:szCs w:val="24"/>
              <w:lang w:val="en-GB"/>
            </w:rPr>
            <w:t>ere are</w:t>
          </w:r>
          <w:r w:rsidR="00E66216">
            <w:rPr>
              <w:sz w:val="24"/>
              <w:szCs w:val="24"/>
              <w:lang w:val="en-GB"/>
            </w:rPr>
            <w:t xml:space="preserve"> however </w:t>
          </w:r>
          <w:r w:rsidR="002F16F6" w:rsidRPr="00960F3A">
            <w:rPr>
              <w:sz w:val="24"/>
              <w:szCs w:val="24"/>
              <w:lang w:val="en-GB"/>
            </w:rPr>
            <w:t>a number of areas where the prevent</w:t>
          </w:r>
          <w:r w:rsidR="00E66216">
            <w:rPr>
              <w:sz w:val="24"/>
              <w:szCs w:val="24"/>
              <w:lang w:val="en-GB"/>
            </w:rPr>
            <w:t>ion of</w:t>
          </w:r>
          <w:r w:rsidR="002F16F6" w:rsidRPr="00960F3A">
            <w:rPr>
              <w:sz w:val="24"/>
              <w:szCs w:val="24"/>
              <w:lang w:val="en-GB"/>
            </w:rPr>
            <w:t xml:space="preserve"> corruption </w:t>
          </w:r>
          <w:r w:rsidR="00E66216">
            <w:rPr>
              <w:sz w:val="24"/>
              <w:szCs w:val="24"/>
              <w:lang w:val="en-GB"/>
            </w:rPr>
            <w:t xml:space="preserve">needs to </w:t>
          </w:r>
          <w:r w:rsidR="002F16F6" w:rsidRPr="00960F3A">
            <w:rPr>
              <w:sz w:val="24"/>
              <w:szCs w:val="24"/>
              <w:lang w:val="en-GB"/>
            </w:rPr>
            <w:t>be enhanced</w:t>
          </w:r>
          <w:r w:rsidR="00E66216">
            <w:rPr>
              <w:sz w:val="24"/>
              <w:szCs w:val="24"/>
              <w:lang w:val="en-GB"/>
            </w:rPr>
            <w:t>, in legislation (</w:t>
          </w:r>
          <w:r w:rsidR="002F16F6" w:rsidRPr="00960F3A">
            <w:rPr>
              <w:sz w:val="24"/>
              <w:szCs w:val="24"/>
              <w:lang w:val="en-GB"/>
            </w:rPr>
            <w:t>including the Law on the Prevention of Conflicts of Interest</w:t>
          </w:r>
          <w:r w:rsidR="00E66216">
            <w:rPr>
              <w:sz w:val="24"/>
              <w:szCs w:val="24"/>
              <w:lang w:val="en-GB"/>
            </w:rPr>
            <w:t>) and practice</w:t>
          </w:r>
          <w:r w:rsidR="002F16F6" w:rsidRPr="00960F3A">
            <w:rPr>
              <w:sz w:val="24"/>
              <w:szCs w:val="24"/>
              <w:lang w:val="en-GB"/>
            </w:rPr>
            <w:t xml:space="preserve">. </w:t>
          </w:r>
        </w:p>
        <w:p w14:paraId="6A3F9D59" w14:textId="77777777" w:rsidR="00960F3A" w:rsidRDefault="00960F3A" w:rsidP="00D86359">
          <w:pPr>
            <w:tabs>
              <w:tab w:val="left" w:pos="709"/>
            </w:tabs>
            <w:spacing w:after="0" w:line="240" w:lineRule="auto"/>
            <w:jc w:val="both"/>
            <w:rPr>
              <w:sz w:val="24"/>
              <w:szCs w:val="24"/>
              <w:lang w:val="en-GB"/>
            </w:rPr>
          </w:pPr>
        </w:p>
        <w:p w14:paraId="014AAE11" w14:textId="176BB90B" w:rsidR="008179FC" w:rsidRPr="00F53012" w:rsidRDefault="00960F3A" w:rsidP="00F53012">
          <w:pPr>
            <w:numPr>
              <w:ilvl w:val="0"/>
              <w:numId w:val="1"/>
            </w:numPr>
            <w:tabs>
              <w:tab w:val="left" w:pos="709"/>
            </w:tabs>
            <w:spacing w:after="0" w:line="240" w:lineRule="auto"/>
            <w:ind w:left="0" w:firstLine="0"/>
            <w:jc w:val="both"/>
            <w:rPr>
              <w:sz w:val="24"/>
              <w:szCs w:val="24"/>
              <w:lang w:val="en-GB"/>
            </w:rPr>
          </w:pPr>
          <w:r w:rsidRPr="00F53012">
            <w:rPr>
              <w:sz w:val="24"/>
              <w:szCs w:val="24"/>
              <w:lang w:val="en-GB"/>
            </w:rPr>
            <w:t>To start with,</w:t>
          </w:r>
          <w:r w:rsidR="008179FC" w:rsidRPr="00F53012">
            <w:rPr>
              <w:sz w:val="24"/>
              <w:szCs w:val="24"/>
              <w:lang w:val="en-GB"/>
            </w:rPr>
            <w:t xml:space="preserve"> developments in last few years have shown that there is a ne</w:t>
          </w:r>
          <w:r w:rsidR="00D86359" w:rsidRPr="00F53012">
            <w:rPr>
              <w:sz w:val="24"/>
              <w:szCs w:val="24"/>
              <w:lang w:val="en-GB"/>
            </w:rPr>
            <w:t>ed</w:t>
          </w:r>
          <w:r w:rsidR="008179FC" w:rsidRPr="00F53012">
            <w:rPr>
              <w:sz w:val="24"/>
              <w:szCs w:val="24"/>
              <w:lang w:val="en-GB"/>
            </w:rPr>
            <w:t xml:space="preserve"> to ensure that certain integrity standards (including on conflicts of interest and the use of confidential information) apply to people working </w:t>
          </w:r>
          <w:r w:rsidR="00E66216">
            <w:rPr>
              <w:sz w:val="24"/>
              <w:szCs w:val="24"/>
              <w:lang w:val="en-GB"/>
            </w:rPr>
            <w:t xml:space="preserve">in </w:t>
          </w:r>
          <w:r w:rsidR="008179FC" w:rsidRPr="00F53012">
            <w:rPr>
              <w:sz w:val="24"/>
              <w:szCs w:val="24"/>
              <w:lang w:val="en-GB"/>
            </w:rPr>
            <w:t>an advisory capacity for the</w:t>
          </w:r>
          <w:r w:rsidR="00E66216">
            <w:rPr>
              <w:sz w:val="24"/>
              <w:szCs w:val="24"/>
              <w:lang w:val="en-GB"/>
            </w:rPr>
            <w:t xml:space="preserve"> government</w:t>
          </w:r>
          <w:r w:rsidR="008179FC" w:rsidRPr="00F53012">
            <w:rPr>
              <w:sz w:val="24"/>
              <w:szCs w:val="24"/>
              <w:lang w:val="en-GB"/>
            </w:rPr>
            <w:t xml:space="preserve">. </w:t>
          </w:r>
          <w:r w:rsidR="00E66216">
            <w:rPr>
              <w:sz w:val="24"/>
              <w:szCs w:val="24"/>
              <w:lang w:val="en-GB"/>
            </w:rPr>
            <w:t>T</w:t>
          </w:r>
          <w:r w:rsidRPr="00F53012">
            <w:rPr>
              <w:sz w:val="24"/>
              <w:szCs w:val="24"/>
              <w:lang w:val="en-GB"/>
            </w:rPr>
            <w:t>he current legislative framework need</w:t>
          </w:r>
          <w:r w:rsidR="008179FC" w:rsidRPr="00F53012">
            <w:rPr>
              <w:sz w:val="24"/>
              <w:szCs w:val="24"/>
              <w:lang w:val="en-GB"/>
            </w:rPr>
            <w:t>s</w:t>
          </w:r>
          <w:r w:rsidRPr="00F53012">
            <w:rPr>
              <w:sz w:val="24"/>
              <w:szCs w:val="24"/>
              <w:lang w:val="en-GB"/>
            </w:rPr>
            <w:t xml:space="preserve"> to be complemented by a code of conduct for persons with top executive functions (supplemented with </w:t>
          </w:r>
          <w:r w:rsidR="00E66216">
            <w:rPr>
              <w:sz w:val="24"/>
              <w:szCs w:val="24"/>
              <w:lang w:val="en-GB"/>
            </w:rPr>
            <w:t xml:space="preserve">practical </w:t>
          </w:r>
          <w:r w:rsidRPr="00F53012">
            <w:rPr>
              <w:sz w:val="24"/>
              <w:szCs w:val="24"/>
              <w:lang w:val="en-GB"/>
            </w:rPr>
            <w:t>guidance</w:t>
          </w:r>
          <w:r w:rsidR="00E66216">
            <w:rPr>
              <w:sz w:val="24"/>
              <w:szCs w:val="24"/>
              <w:lang w:val="en-GB"/>
            </w:rPr>
            <w:t>)</w:t>
          </w:r>
          <w:r w:rsidRPr="00F53012">
            <w:rPr>
              <w:sz w:val="24"/>
              <w:szCs w:val="24"/>
              <w:lang w:val="en-GB"/>
            </w:rPr>
            <w:t xml:space="preserve">. Moreover, </w:t>
          </w:r>
          <w:r w:rsidR="00BE46A7" w:rsidRPr="00F53012">
            <w:rPr>
              <w:sz w:val="24"/>
              <w:szCs w:val="24"/>
              <w:lang w:val="en-GB"/>
            </w:rPr>
            <w:t xml:space="preserve">a requirement for persons entrusted with top executive </w:t>
          </w:r>
          <w:r w:rsidR="00AA4F6D">
            <w:rPr>
              <w:sz w:val="24"/>
              <w:szCs w:val="24"/>
              <w:lang w:val="en-GB"/>
            </w:rPr>
            <w:t xml:space="preserve">functions </w:t>
          </w:r>
          <w:r w:rsidR="00BE46A7" w:rsidRPr="00F53012">
            <w:rPr>
              <w:sz w:val="24"/>
              <w:szCs w:val="24"/>
              <w:lang w:val="en-GB"/>
            </w:rPr>
            <w:t xml:space="preserve">to disclose </w:t>
          </w:r>
          <w:r w:rsidR="00B83741" w:rsidRPr="00F53012">
            <w:rPr>
              <w:sz w:val="24"/>
              <w:szCs w:val="24"/>
              <w:lang w:val="en-GB"/>
            </w:rPr>
            <w:t>(</w:t>
          </w:r>
          <w:r w:rsidR="00BE46A7" w:rsidRPr="00F53012">
            <w:rPr>
              <w:sz w:val="24"/>
              <w:szCs w:val="24"/>
              <w:lang w:val="en-GB"/>
            </w:rPr>
            <w:t>in an ad-hoc manner</w:t>
          </w:r>
          <w:r w:rsidR="00B83741" w:rsidRPr="00F53012">
            <w:rPr>
              <w:sz w:val="24"/>
              <w:szCs w:val="24"/>
              <w:lang w:val="en-GB"/>
            </w:rPr>
            <w:t>)</w:t>
          </w:r>
          <w:r w:rsidR="00BE46A7" w:rsidRPr="00F53012">
            <w:rPr>
              <w:sz w:val="24"/>
              <w:szCs w:val="24"/>
              <w:lang w:val="en-GB"/>
            </w:rPr>
            <w:t xml:space="preserve"> situations</w:t>
          </w:r>
          <w:r w:rsidR="00E66216">
            <w:rPr>
              <w:sz w:val="24"/>
              <w:szCs w:val="24"/>
              <w:lang w:val="en-GB"/>
            </w:rPr>
            <w:t xml:space="preserve"> of conflicts of interest</w:t>
          </w:r>
          <w:r w:rsidR="00BE46A7" w:rsidRPr="00F53012">
            <w:rPr>
              <w:sz w:val="24"/>
              <w:szCs w:val="24"/>
              <w:lang w:val="en-GB"/>
            </w:rPr>
            <w:t>, as well as rules o</w:t>
          </w:r>
          <w:r w:rsidRPr="00F53012">
            <w:rPr>
              <w:sz w:val="24"/>
              <w:szCs w:val="24"/>
              <w:lang w:val="en-GB"/>
            </w:rPr>
            <w:t xml:space="preserve">n how </w:t>
          </w:r>
          <w:r w:rsidR="00BE46A7" w:rsidRPr="00F53012">
            <w:rPr>
              <w:sz w:val="24"/>
              <w:szCs w:val="24"/>
              <w:lang w:val="en-GB"/>
            </w:rPr>
            <w:t>to</w:t>
          </w:r>
          <w:r w:rsidRPr="00F53012">
            <w:rPr>
              <w:sz w:val="24"/>
              <w:szCs w:val="24"/>
              <w:lang w:val="en-GB"/>
            </w:rPr>
            <w:t xml:space="preserve"> engage with lobbyists</w:t>
          </w:r>
          <w:r w:rsidR="00BE46A7" w:rsidRPr="00F53012">
            <w:rPr>
              <w:sz w:val="24"/>
              <w:szCs w:val="24"/>
              <w:lang w:val="en-GB"/>
            </w:rPr>
            <w:t xml:space="preserve"> and other third parties seeking to influence the government’s decision-making</w:t>
          </w:r>
          <w:r w:rsidR="00E66216">
            <w:rPr>
              <w:sz w:val="24"/>
              <w:szCs w:val="24"/>
              <w:lang w:val="en-GB"/>
            </w:rPr>
            <w:t xml:space="preserve"> are </w:t>
          </w:r>
          <w:r w:rsidR="00105955">
            <w:rPr>
              <w:sz w:val="24"/>
              <w:szCs w:val="24"/>
              <w:lang w:val="en-GB"/>
            </w:rPr>
            <w:t>to be adopted</w:t>
          </w:r>
          <w:r w:rsidRPr="00F53012">
            <w:rPr>
              <w:sz w:val="24"/>
              <w:szCs w:val="24"/>
              <w:lang w:val="en-GB"/>
            </w:rPr>
            <w:t xml:space="preserve">. In addition, </w:t>
          </w:r>
          <w:r w:rsidR="00F53012" w:rsidRPr="00F53012">
            <w:rPr>
              <w:sz w:val="24"/>
              <w:szCs w:val="24"/>
              <w:lang w:val="en-GB"/>
            </w:rPr>
            <w:t xml:space="preserve">the immunity provided to members of the government </w:t>
          </w:r>
          <w:r w:rsidR="00E66216">
            <w:rPr>
              <w:sz w:val="24"/>
              <w:szCs w:val="24"/>
              <w:lang w:val="en-GB"/>
            </w:rPr>
            <w:t xml:space="preserve">is too far-reaching and needs to be limited and </w:t>
          </w:r>
          <w:r w:rsidR="008179FC" w:rsidRPr="00F53012">
            <w:rPr>
              <w:sz w:val="24"/>
              <w:szCs w:val="24"/>
              <w:lang w:val="en-GB"/>
            </w:rPr>
            <w:t xml:space="preserve">persons with </w:t>
          </w:r>
          <w:r w:rsidR="00BE46A7" w:rsidRPr="00F53012">
            <w:rPr>
              <w:sz w:val="24"/>
              <w:szCs w:val="24"/>
              <w:lang w:val="en-GB"/>
            </w:rPr>
            <w:t xml:space="preserve">top executive </w:t>
          </w:r>
          <w:r w:rsidR="008179FC" w:rsidRPr="00F53012">
            <w:rPr>
              <w:sz w:val="24"/>
              <w:szCs w:val="24"/>
              <w:lang w:val="en-GB"/>
            </w:rPr>
            <w:t xml:space="preserve">functions </w:t>
          </w:r>
          <w:r w:rsidR="00E66216">
            <w:rPr>
              <w:sz w:val="24"/>
              <w:szCs w:val="24"/>
              <w:lang w:val="en-GB"/>
            </w:rPr>
            <w:t xml:space="preserve">should </w:t>
          </w:r>
          <w:r w:rsidR="00A975B9">
            <w:rPr>
              <w:sz w:val="24"/>
              <w:szCs w:val="24"/>
              <w:lang w:val="en-GB"/>
            </w:rPr>
            <w:t>submit their financial declarations</w:t>
          </w:r>
          <w:r w:rsidR="008179FC" w:rsidRPr="00F53012">
            <w:rPr>
              <w:sz w:val="24"/>
              <w:szCs w:val="24"/>
              <w:lang w:val="en-GB"/>
            </w:rPr>
            <w:t xml:space="preserve"> more regularly than once every four years. </w:t>
          </w:r>
        </w:p>
        <w:p w14:paraId="6C3F897D" w14:textId="77777777" w:rsidR="008179FC" w:rsidRDefault="008179FC" w:rsidP="00D86359">
          <w:pPr>
            <w:tabs>
              <w:tab w:val="left" w:pos="709"/>
            </w:tabs>
            <w:spacing w:after="0" w:line="240" w:lineRule="auto"/>
            <w:jc w:val="both"/>
            <w:rPr>
              <w:sz w:val="24"/>
              <w:szCs w:val="24"/>
              <w:lang w:val="en-GB"/>
            </w:rPr>
          </w:pPr>
        </w:p>
        <w:p w14:paraId="0DCE7352" w14:textId="48EEEF44" w:rsidR="00F53012" w:rsidRDefault="008179FC" w:rsidP="00105955">
          <w:pPr>
            <w:numPr>
              <w:ilvl w:val="0"/>
              <w:numId w:val="1"/>
            </w:numPr>
            <w:tabs>
              <w:tab w:val="left" w:pos="709"/>
            </w:tabs>
            <w:spacing w:after="0" w:line="240" w:lineRule="auto"/>
            <w:ind w:left="0" w:firstLine="0"/>
            <w:jc w:val="both"/>
            <w:rPr>
              <w:sz w:val="24"/>
              <w:szCs w:val="24"/>
              <w:lang w:val="en-GB"/>
            </w:rPr>
          </w:pPr>
          <w:r w:rsidRPr="00E66216">
            <w:rPr>
              <w:sz w:val="24"/>
              <w:szCs w:val="24"/>
              <w:lang w:val="en-GB"/>
            </w:rPr>
            <w:t xml:space="preserve">The Law on </w:t>
          </w:r>
          <w:r w:rsidR="00D86359" w:rsidRPr="00E66216">
            <w:rPr>
              <w:sz w:val="24"/>
              <w:szCs w:val="24"/>
              <w:lang w:val="en-GB"/>
            </w:rPr>
            <w:t xml:space="preserve">the Prevention of Conflicts of Interest confers a central role to the Commission for the Prevention of Conflicts, an independent body, supervising the implementation of the law. The report finds it necessary </w:t>
          </w:r>
          <w:r w:rsidR="00E66216" w:rsidRPr="00E66216">
            <w:rPr>
              <w:sz w:val="24"/>
              <w:szCs w:val="24"/>
              <w:lang w:val="en-GB"/>
            </w:rPr>
            <w:t>to i</w:t>
          </w:r>
          <w:r w:rsidR="006B5ACD">
            <w:rPr>
              <w:sz w:val="24"/>
              <w:szCs w:val="24"/>
              <w:lang w:val="en-GB"/>
            </w:rPr>
            <w:t>mprove</w:t>
          </w:r>
          <w:r w:rsidR="00E66216" w:rsidRPr="00E66216">
            <w:rPr>
              <w:sz w:val="24"/>
              <w:szCs w:val="24"/>
              <w:lang w:val="en-GB"/>
            </w:rPr>
            <w:t xml:space="preserve"> possibilities for the Commission to obtain the information it needs to verify </w:t>
          </w:r>
          <w:r w:rsidR="00BF182A">
            <w:rPr>
              <w:sz w:val="24"/>
              <w:szCs w:val="24"/>
              <w:lang w:val="en-GB"/>
            </w:rPr>
            <w:t>financial</w:t>
          </w:r>
          <w:r w:rsidRPr="00E66216">
            <w:rPr>
              <w:sz w:val="24"/>
              <w:szCs w:val="24"/>
              <w:lang w:val="en-GB"/>
            </w:rPr>
            <w:t xml:space="preserve"> declarations</w:t>
          </w:r>
          <w:r w:rsidR="00D86359" w:rsidRPr="00E66216">
            <w:rPr>
              <w:sz w:val="24"/>
              <w:szCs w:val="24"/>
              <w:lang w:val="en-GB"/>
            </w:rPr>
            <w:t xml:space="preserve">. </w:t>
          </w:r>
        </w:p>
        <w:p w14:paraId="76444C59" w14:textId="77777777" w:rsidR="00E66216" w:rsidRPr="00E66216" w:rsidRDefault="00E66216" w:rsidP="00E66216">
          <w:pPr>
            <w:tabs>
              <w:tab w:val="left" w:pos="709"/>
            </w:tabs>
            <w:spacing w:after="0" w:line="240" w:lineRule="auto"/>
            <w:jc w:val="both"/>
            <w:rPr>
              <w:sz w:val="24"/>
              <w:szCs w:val="24"/>
              <w:lang w:val="en-GB"/>
            </w:rPr>
          </w:pPr>
        </w:p>
        <w:p w14:paraId="633BCDB3" w14:textId="3E2845A7" w:rsidR="00314ADC" w:rsidRPr="00314ADC" w:rsidRDefault="00F53012" w:rsidP="00105955">
          <w:pPr>
            <w:numPr>
              <w:ilvl w:val="0"/>
              <w:numId w:val="1"/>
            </w:numPr>
            <w:tabs>
              <w:tab w:val="left" w:pos="709"/>
            </w:tabs>
            <w:spacing w:after="0" w:line="240" w:lineRule="auto"/>
            <w:ind w:left="0" w:firstLine="0"/>
            <w:jc w:val="both"/>
            <w:rPr>
              <w:sz w:val="24"/>
              <w:szCs w:val="24"/>
              <w:lang w:val="en-GB"/>
            </w:rPr>
          </w:pPr>
          <w:r w:rsidRPr="003C5A07">
            <w:rPr>
              <w:sz w:val="24"/>
              <w:szCs w:val="24"/>
              <w:lang w:val="en-GB"/>
            </w:rPr>
            <w:t>When it comes to the police, an integrity and anti-corruption strategy would need be adopted for the entire police force</w:t>
          </w:r>
          <w:r w:rsidR="003C5A07" w:rsidRPr="003C5A07">
            <w:rPr>
              <w:sz w:val="24"/>
              <w:szCs w:val="24"/>
              <w:lang w:val="en-GB"/>
            </w:rPr>
            <w:t xml:space="preserve"> (and not just </w:t>
          </w:r>
          <w:r w:rsidR="00E66216">
            <w:rPr>
              <w:sz w:val="24"/>
              <w:szCs w:val="24"/>
              <w:lang w:val="en-GB"/>
            </w:rPr>
            <w:t xml:space="preserve">in respect of </w:t>
          </w:r>
          <w:r w:rsidR="003C5A07" w:rsidRPr="003C5A07">
            <w:rPr>
              <w:sz w:val="24"/>
              <w:szCs w:val="24"/>
              <w:lang w:val="en-GB"/>
            </w:rPr>
            <w:t>the border police)</w:t>
          </w:r>
          <w:r w:rsidRPr="003C5A07">
            <w:rPr>
              <w:sz w:val="24"/>
              <w:szCs w:val="24"/>
              <w:lang w:val="en-GB"/>
            </w:rPr>
            <w:t xml:space="preserve">, on the basis of a comprehensive risk assessment of corruption prone </w:t>
          </w:r>
          <w:r w:rsidR="00E86F12">
            <w:rPr>
              <w:sz w:val="24"/>
              <w:szCs w:val="24"/>
              <w:lang w:val="en-GB"/>
            </w:rPr>
            <w:t xml:space="preserve">activities </w:t>
          </w:r>
          <w:r w:rsidR="00E66216">
            <w:rPr>
              <w:sz w:val="24"/>
              <w:szCs w:val="24"/>
              <w:lang w:val="en-GB"/>
            </w:rPr>
            <w:t xml:space="preserve">of </w:t>
          </w:r>
          <w:r w:rsidRPr="003C5A07">
            <w:rPr>
              <w:sz w:val="24"/>
              <w:szCs w:val="24"/>
              <w:lang w:val="en-GB"/>
            </w:rPr>
            <w:t xml:space="preserve">the police. Whilst it is positive that a </w:t>
          </w:r>
          <w:r w:rsidR="00675ECE" w:rsidRPr="003C5A07">
            <w:rPr>
              <w:sz w:val="24"/>
              <w:szCs w:val="24"/>
              <w:lang w:val="en-GB"/>
            </w:rPr>
            <w:t xml:space="preserve">code of ethics for police officers already exists, it would need to cover </w:t>
          </w:r>
          <w:r w:rsidR="000C6F12">
            <w:rPr>
              <w:sz w:val="24"/>
              <w:szCs w:val="24"/>
              <w:lang w:val="en-GB"/>
            </w:rPr>
            <w:t xml:space="preserve">more </w:t>
          </w:r>
          <w:r w:rsidR="00675ECE" w:rsidRPr="003C5A07">
            <w:rPr>
              <w:sz w:val="24"/>
              <w:szCs w:val="24"/>
              <w:lang w:val="en-GB"/>
            </w:rPr>
            <w:t xml:space="preserve">in detail all relevant integrity matters and </w:t>
          </w:r>
          <w:r w:rsidR="00E86F12">
            <w:rPr>
              <w:sz w:val="24"/>
              <w:szCs w:val="24"/>
              <w:lang w:val="en-GB"/>
            </w:rPr>
            <w:t xml:space="preserve">be </w:t>
          </w:r>
          <w:r w:rsidR="00675ECE" w:rsidRPr="003C5A07">
            <w:rPr>
              <w:sz w:val="24"/>
              <w:szCs w:val="24"/>
              <w:lang w:val="en-GB"/>
            </w:rPr>
            <w:t xml:space="preserve">supplemented </w:t>
          </w:r>
          <w:r w:rsidR="00E86F12">
            <w:rPr>
              <w:sz w:val="24"/>
              <w:szCs w:val="24"/>
              <w:lang w:val="en-GB"/>
            </w:rPr>
            <w:t>with</w:t>
          </w:r>
          <w:r w:rsidR="00675ECE" w:rsidRPr="003C5A07">
            <w:rPr>
              <w:sz w:val="24"/>
              <w:szCs w:val="24"/>
              <w:lang w:val="en-GB"/>
            </w:rPr>
            <w:t xml:space="preserve"> an explanatory manual to become a tr</w:t>
          </w:r>
          <w:r w:rsidR="00332738" w:rsidRPr="003C5A07">
            <w:rPr>
              <w:sz w:val="24"/>
              <w:szCs w:val="24"/>
              <w:lang w:val="en-GB"/>
            </w:rPr>
            <w:t>uly practical too</w:t>
          </w:r>
          <w:r w:rsidR="000C6F12">
            <w:rPr>
              <w:sz w:val="24"/>
              <w:szCs w:val="24"/>
              <w:lang w:val="en-GB"/>
            </w:rPr>
            <w:t xml:space="preserve">l and </w:t>
          </w:r>
          <w:r w:rsidR="00332738" w:rsidRPr="003C5A07">
            <w:rPr>
              <w:sz w:val="24"/>
              <w:szCs w:val="24"/>
              <w:lang w:val="en-GB"/>
            </w:rPr>
            <w:t xml:space="preserve">a reference point for </w:t>
          </w:r>
          <w:r w:rsidR="00E86F12">
            <w:rPr>
              <w:sz w:val="24"/>
              <w:szCs w:val="24"/>
              <w:lang w:val="en-GB"/>
            </w:rPr>
            <w:t xml:space="preserve">the to-be-revised </w:t>
          </w:r>
          <w:r w:rsidR="000C6F12">
            <w:rPr>
              <w:sz w:val="24"/>
              <w:szCs w:val="24"/>
              <w:lang w:val="en-GB"/>
            </w:rPr>
            <w:t>police trainings</w:t>
          </w:r>
          <w:r w:rsidR="00332738" w:rsidRPr="003C5A07">
            <w:rPr>
              <w:sz w:val="24"/>
              <w:szCs w:val="24"/>
              <w:lang w:val="en-GB"/>
            </w:rPr>
            <w:t xml:space="preserve">. </w:t>
          </w:r>
        </w:p>
        <w:p w14:paraId="084F3468" w14:textId="77777777" w:rsidR="00314ADC" w:rsidRDefault="00314ADC" w:rsidP="00314ADC">
          <w:pPr>
            <w:pStyle w:val="Odlomakpopisa"/>
            <w:spacing w:after="0" w:line="240" w:lineRule="auto"/>
            <w:rPr>
              <w:sz w:val="24"/>
              <w:szCs w:val="24"/>
              <w:lang w:val="en-GB"/>
            </w:rPr>
          </w:pPr>
        </w:p>
        <w:p w14:paraId="7E43CB28" w14:textId="57FF492F" w:rsidR="00FB38AB" w:rsidRPr="00127AD5" w:rsidRDefault="00E86F12" w:rsidP="00127AD5">
          <w:pPr>
            <w:keepNext/>
            <w:keepLines/>
            <w:numPr>
              <w:ilvl w:val="0"/>
              <w:numId w:val="1"/>
            </w:numPr>
            <w:tabs>
              <w:tab w:val="left" w:pos="709"/>
              <w:tab w:val="num" w:pos="1557"/>
              <w:tab w:val="num" w:pos="8222"/>
            </w:tabs>
            <w:spacing w:after="0" w:line="240" w:lineRule="auto"/>
            <w:ind w:left="0" w:firstLine="0"/>
            <w:jc w:val="both"/>
            <w:rPr>
              <w:sz w:val="24"/>
              <w:szCs w:val="24"/>
              <w:lang w:val="en-GB"/>
            </w:rPr>
          </w:pPr>
          <w:r>
            <w:rPr>
              <w:sz w:val="24"/>
              <w:szCs w:val="24"/>
              <w:lang w:val="en-GB"/>
            </w:rPr>
            <w:t>Moreover</w:t>
          </w:r>
          <w:r w:rsidR="003C5A07" w:rsidRPr="00127AD5">
            <w:rPr>
              <w:sz w:val="24"/>
              <w:szCs w:val="24"/>
              <w:lang w:val="en-GB"/>
            </w:rPr>
            <w:t xml:space="preserve">, the current appointment and promotion processes </w:t>
          </w:r>
          <w:r w:rsidR="00314ADC" w:rsidRPr="00127AD5">
            <w:rPr>
              <w:sz w:val="24"/>
              <w:szCs w:val="24"/>
              <w:lang w:val="en-GB"/>
            </w:rPr>
            <w:t>of police officers</w:t>
          </w:r>
          <w:r w:rsidR="000C6F12" w:rsidRPr="00127AD5">
            <w:rPr>
              <w:sz w:val="24"/>
              <w:szCs w:val="24"/>
              <w:lang w:val="en-GB"/>
            </w:rPr>
            <w:t xml:space="preserve"> and their employment </w:t>
          </w:r>
          <w:r w:rsidR="00314ADC" w:rsidRPr="00127AD5">
            <w:rPr>
              <w:sz w:val="24"/>
              <w:szCs w:val="24"/>
              <w:lang w:val="en-GB"/>
            </w:rPr>
            <w:t xml:space="preserve">after they leave the </w:t>
          </w:r>
          <w:r w:rsidR="000C6F12" w:rsidRPr="00127AD5">
            <w:rPr>
              <w:sz w:val="24"/>
              <w:szCs w:val="24"/>
              <w:lang w:val="en-GB"/>
            </w:rPr>
            <w:t xml:space="preserve">service requires further attention. Finally, </w:t>
          </w:r>
          <w:r w:rsidR="00562C3C" w:rsidRPr="00127AD5">
            <w:rPr>
              <w:sz w:val="24"/>
              <w:szCs w:val="24"/>
              <w:lang w:val="en-GB"/>
            </w:rPr>
            <w:t xml:space="preserve">it is recommended </w:t>
          </w:r>
          <w:r w:rsidR="000C6F12" w:rsidRPr="00127AD5">
            <w:rPr>
              <w:sz w:val="24"/>
              <w:szCs w:val="24"/>
              <w:lang w:val="en-GB"/>
            </w:rPr>
            <w:t xml:space="preserve">that </w:t>
          </w:r>
          <w:r w:rsidR="00562C3C" w:rsidRPr="00127AD5">
            <w:rPr>
              <w:rFonts w:cstheme="minorHAnsi"/>
              <w:sz w:val="24"/>
              <w:szCs w:val="24"/>
              <w:lang w:val="en-GB"/>
            </w:rPr>
            <w:t>a requirement be established for police staff to report integrity</w:t>
          </w:r>
          <w:r w:rsidR="000C6F12" w:rsidRPr="00127AD5">
            <w:rPr>
              <w:rFonts w:cstheme="minorHAnsi"/>
              <w:sz w:val="24"/>
              <w:szCs w:val="24"/>
              <w:lang w:val="en-GB"/>
            </w:rPr>
            <w:t>-</w:t>
          </w:r>
          <w:r w:rsidR="00562C3C" w:rsidRPr="00127AD5">
            <w:rPr>
              <w:rFonts w:cstheme="minorHAnsi"/>
              <w:sz w:val="24"/>
              <w:szCs w:val="24"/>
              <w:lang w:val="en-GB"/>
            </w:rPr>
            <w:t>related misconduct they come across in the service.</w:t>
          </w:r>
          <w:r w:rsidR="00562C3C" w:rsidRPr="00127AD5">
            <w:rPr>
              <w:rFonts w:cstheme="minorHAnsi"/>
              <w:sz w:val="24"/>
              <w:szCs w:val="24"/>
              <w:lang w:val="en-GB"/>
            </w:rPr>
            <w:br w:type="page"/>
          </w:r>
        </w:p>
        <w:bookmarkStart w:id="6" w:name="_Toc329187446" w:displacedByCustomXml="next"/>
      </w:sdtContent>
    </w:sdt>
    <w:p w14:paraId="09D5C5C1" w14:textId="14426FF7" w:rsidR="00FB38AB" w:rsidRPr="000D4A19" w:rsidRDefault="00A910A1" w:rsidP="004B7CAB">
      <w:pPr>
        <w:pStyle w:val="Naslov1"/>
        <w:keepNext w:val="0"/>
        <w:keepLines w:val="0"/>
        <w:tabs>
          <w:tab w:val="left" w:pos="709"/>
        </w:tabs>
        <w:spacing w:before="0" w:line="240" w:lineRule="auto"/>
        <w:rPr>
          <w:rFonts w:asciiTheme="minorHAnsi" w:hAnsiTheme="minorHAnsi"/>
          <w:color w:val="auto"/>
          <w:sz w:val="24"/>
          <w:szCs w:val="24"/>
          <w:lang w:val="en-GB"/>
        </w:rPr>
      </w:pPr>
      <w:bookmarkStart w:id="7" w:name="_Toc25229283"/>
      <w:bookmarkEnd w:id="5"/>
      <w:r w:rsidRPr="000D4A19">
        <w:rPr>
          <w:rFonts w:asciiTheme="minorHAnsi" w:hAnsiTheme="minorHAnsi"/>
          <w:color w:val="auto"/>
          <w:sz w:val="24"/>
          <w:szCs w:val="24"/>
          <w:lang w:val="en-GB"/>
        </w:rPr>
        <w:lastRenderedPageBreak/>
        <w:t>I</w:t>
      </w:r>
      <w:r w:rsidR="00FB38AB" w:rsidRPr="000D4A19">
        <w:rPr>
          <w:rFonts w:asciiTheme="minorHAnsi" w:hAnsiTheme="minorHAnsi"/>
          <w:color w:val="auto"/>
          <w:sz w:val="24"/>
          <w:szCs w:val="24"/>
          <w:lang w:val="en-GB"/>
        </w:rPr>
        <w:t>I.</w:t>
      </w:r>
      <w:r w:rsidR="00FB38AB" w:rsidRPr="000D4A19">
        <w:rPr>
          <w:rFonts w:asciiTheme="minorHAnsi" w:hAnsiTheme="minorHAnsi"/>
          <w:color w:val="auto"/>
          <w:sz w:val="24"/>
          <w:szCs w:val="24"/>
          <w:lang w:val="en-GB"/>
        </w:rPr>
        <w:tab/>
      </w:r>
      <w:r w:rsidR="00FB38AB" w:rsidRPr="000D4A19">
        <w:rPr>
          <w:rFonts w:asciiTheme="minorHAnsi" w:hAnsiTheme="minorHAnsi"/>
          <w:color w:val="auto"/>
          <w:sz w:val="24"/>
          <w:szCs w:val="24"/>
          <w:u w:val="single"/>
          <w:lang w:val="en-GB"/>
        </w:rPr>
        <w:t>INTRODUCTION AND METHODOLOGY</w:t>
      </w:r>
      <w:bookmarkEnd w:id="6"/>
      <w:bookmarkEnd w:id="7"/>
    </w:p>
    <w:sdt>
      <w:sdtPr>
        <w:rPr>
          <w:rFonts w:asciiTheme="minorHAnsi" w:eastAsiaTheme="minorHAnsi" w:hAnsiTheme="minorHAnsi" w:cstheme="minorBidi"/>
          <w:b w:val="0"/>
          <w:bCs w:val="0"/>
          <w:color w:val="auto"/>
          <w:sz w:val="22"/>
          <w:szCs w:val="22"/>
          <w:lang w:val="en-GB"/>
        </w:rPr>
        <w:tag w:val="{A7E03340-39A3-4F97-94A6-9EAF6A7B49BB}"/>
        <w:id w:val="409660677"/>
        <w:lock w:val="sdtLocked"/>
      </w:sdtPr>
      <w:sdtEndPr/>
      <w:sdtContent>
        <w:p w14:paraId="69103947" w14:textId="77777777" w:rsidR="00FB38AB" w:rsidRPr="000D4A19" w:rsidRDefault="00FB38AB" w:rsidP="004B7CAB">
          <w:pPr>
            <w:pStyle w:val="Naslov1"/>
            <w:keepNext w:val="0"/>
            <w:keepLines w:val="0"/>
            <w:tabs>
              <w:tab w:val="left" w:pos="709"/>
            </w:tabs>
            <w:spacing w:before="0" w:line="240" w:lineRule="auto"/>
            <w:rPr>
              <w:rFonts w:asciiTheme="minorHAnsi" w:hAnsiTheme="minorHAnsi"/>
              <w:color w:val="auto"/>
              <w:sz w:val="24"/>
              <w:szCs w:val="24"/>
              <w:lang w:val="en-GB"/>
            </w:rPr>
          </w:pPr>
        </w:p>
        <w:p w14:paraId="2E725387" w14:textId="77777777" w:rsidR="00686B5D" w:rsidRPr="000D4A19" w:rsidRDefault="00686B5D" w:rsidP="004B7CAB">
          <w:pPr>
            <w:numPr>
              <w:ilvl w:val="0"/>
              <w:numId w:val="1"/>
            </w:numPr>
            <w:tabs>
              <w:tab w:val="left" w:pos="709"/>
              <w:tab w:val="num" w:pos="1557"/>
            </w:tabs>
            <w:spacing w:after="0" w:line="240" w:lineRule="auto"/>
            <w:ind w:left="0" w:firstLine="0"/>
            <w:jc w:val="both"/>
            <w:rPr>
              <w:sz w:val="24"/>
              <w:szCs w:val="24"/>
              <w:lang w:val="en-GB"/>
            </w:rPr>
          </w:pPr>
          <w:r w:rsidRPr="000D4A19">
            <w:rPr>
              <w:sz w:val="24"/>
              <w:szCs w:val="24"/>
              <w:lang w:val="en-GB"/>
            </w:rPr>
            <w:t xml:space="preserve">Croatia joined GRECO in 2000 and has been evaluated in the framework of GRECO’s First (in May 2002), Second (in December 2005), Third (in December 2009) and Fourth (in October 2013) Evaluation Rounds. The resulting Evaluation Reports, as well as the subsequent Compliance Reports, are available on </w:t>
          </w:r>
          <w:hyperlink r:id="rId21" w:history="1">
            <w:r w:rsidRPr="000D4A19">
              <w:rPr>
                <w:rStyle w:val="Hiperveza"/>
                <w:sz w:val="24"/>
                <w:szCs w:val="24"/>
                <w:lang w:val="en-GB"/>
              </w:rPr>
              <w:t>GRECO’s website</w:t>
            </w:r>
          </w:hyperlink>
          <w:r w:rsidRPr="000D4A19">
            <w:rPr>
              <w:sz w:val="24"/>
              <w:szCs w:val="24"/>
              <w:lang w:val="en-GB"/>
            </w:rPr>
            <w:t>. This Fifth Evaluation Round was launched on 1 January 2017.</w:t>
          </w:r>
          <w:r w:rsidRPr="000D4A19">
            <w:rPr>
              <w:rStyle w:val="Referencafusnote"/>
              <w:sz w:val="24"/>
              <w:szCs w:val="24"/>
              <w:lang w:val="en-GB"/>
            </w:rPr>
            <w:footnoteReference w:id="1"/>
          </w:r>
        </w:p>
        <w:p w14:paraId="72FB29BF" w14:textId="77777777" w:rsidR="00686B5D" w:rsidRPr="000D4A19" w:rsidRDefault="00686B5D" w:rsidP="004B7CAB">
          <w:pPr>
            <w:tabs>
              <w:tab w:val="left" w:pos="709"/>
            </w:tabs>
            <w:spacing w:after="0" w:line="240" w:lineRule="auto"/>
            <w:jc w:val="both"/>
            <w:rPr>
              <w:sz w:val="24"/>
              <w:szCs w:val="24"/>
              <w:lang w:val="en-GB"/>
            </w:rPr>
          </w:pPr>
        </w:p>
        <w:p w14:paraId="287D7E12" w14:textId="77777777" w:rsidR="00686B5D" w:rsidRPr="000D4A19" w:rsidRDefault="00686B5D" w:rsidP="0021714A">
          <w:pPr>
            <w:numPr>
              <w:ilvl w:val="0"/>
              <w:numId w:val="1"/>
            </w:numPr>
            <w:tabs>
              <w:tab w:val="left" w:pos="709"/>
              <w:tab w:val="num" w:pos="1557"/>
            </w:tabs>
            <w:spacing w:after="0" w:line="240" w:lineRule="auto"/>
            <w:ind w:left="0" w:firstLine="0"/>
            <w:jc w:val="both"/>
            <w:rPr>
              <w:sz w:val="24"/>
              <w:szCs w:val="24"/>
              <w:lang w:val="en-GB"/>
            </w:rPr>
          </w:pPr>
          <w:r w:rsidRPr="000D4A19">
            <w:rPr>
              <w:sz w:val="24"/>
              <w:szCs w:val="24"/>
              <w:lang w:val="en-GB"/>
            </w:rPr>
            <w:t xml:space="preserve">The objective of this report is to evaluate the effectiveness of the measures adopted by the authorities of Croatia to prevent corruption and promote integrity in central governments (top executive functions) and law enforcement agencies. The report contains a critical analysis of the situation, reflecting on the efforts made by the actors concerned and the results achieved. It identifies possible shortcomings and makes recommendations for improvement. In keeping with the practice of GRECO, the recommendations are addressed, via the Head of delegation in GRECO, to the authorities of Croatia, which determine the national institutions/bodies that are to be responsible for taking the requisite action. Within 18 months following the adoption of this report, Croatia shall report back on the action taken in response to GRECO’s recommendations. </w:t>
          </w:r>
        </w:p>
        <w:p w14:paraId="715A51C7" w14:textId="77777777" w:rsidR="00686B5D" w:rsidRPr="000D4A19" w:rsidRDefault="00686B5D" w:rsidP="004B7CAB">
          <w:pPr>
            <w:tabs>
              <w:tab w:val="left" w:pos="709"/>
            </w:tabs>
            <w:spacing w:after="0" w:line="240" w:lineRule="auto"/>
            <w:jc w:val="both"/>
            <w:rPr>
              <w:sz w:val="24"/>
              <w:szCs w:val="24"/>
              <w:lang w:val="en-GB"/>
            </w:rPr>
          </w:pPr>
        </w:p>
        <w:p w14:paraId="310025F2" w14:textId="77777777" w:rsidR="00686B5D" w:rsidRPr="000D4A19" w:rsidRDefault="00686B5D" w:rsidP="004B7CAB">
          <w:pPr>
            <w:numPr>
              <w:ilvl w:val="0"/>
              <w:numId w:val="1"/>
            </w:numPr>
            <w:tabs>
              <w:tab w:val="left" w:pos="709"/>
              <w:tab w:val="num" w:pos="1557"/>
            </w:tabs>
            <w:spacing w:after="0" w:line="240" w:lineRule="auto"/>
            <w:ind w:left="0" w:firstLine="0"/>
            <w:jc w:val="both"/>
            <w:rPr>
              <w:sz w:val="24"/>
              <w:szCs w:val="24"/>
              <w:lang w:val="en-GB"/>
            </w:rPr>
          </w:pPr>
          <w:r w:rsidRPr="000D4A19">
            <w:rPr>
              <w:sz w:val="24"/>
              <w:szCs w:val="24"/>
              <w:lang w:val="en-GB"/>
            </w:rPr>
            <w:t>To prepare this report, a GRECO Evaluation Team (hereafter referred to as the “GET”), carried out an on-site visit to Croatia from 8 to 12 April 2019, and reference was made to the responses by Croatia to the Evaluation Questionnaire, as well as other information received, including from civil society. The GET was composed of Mr Flemming DENKER, Former Deputy State Prosecutor at the State Prosecutor for Serious Economic and International Crime (Denmark), Ms Marina MICUNOVIC, Head of Section, Department of International Relations and Standards, Agency for Prevention of Corruption (Montenegro), Ms Panagiota VATIKALOU, Presiding Judge, First Instance Court of Athens (Greece) and Mr Alvis VILKS, Head of Quality Assurance Department of State Joint Stock Company “Latvijas gaisa satiksme”, Former Deputy Director of the Corruption Prevention and Combating Bureau (KNAB) (Latvia). The GET was supported by Ms Tania VAN DIJK of the GRECO Secretariat.</w:t>
          </w:r>
        </w:p>
        <w:p w14:paraId="6DBC890E" w14:textId="77777777" w:rsidR="00686B5D" w:rsidRPr="000D4A19" w:rsidRDefault="00686B5D" w:rsidP="004B7CAB">
          <w:pPr>
            <w:tabs>
              <w:tab w:val="left" w:pos="709"/>
            </w:tabs>
            <w:spacing w:after="0" w:line="240" w:lineRule="auto"/>
            <w:jc w:val="both"/>
            <w:rPr>
              <w:sz w:val="24"/>
              <w:szCs w:val="24"/>
              <w:lang w:val="en-GB"/>
            </w:rPr>
          </w:pPr>
        </w:p>
        <w:p w14:paraId="74E2DD9C" w14:textId="1F5C0DBB" w:rsidR="00686B5D" w:rsidRPr="000D4A19" w:rsidRDefault="00686B5D" w:rsidP="004B7CAB">
          <w:pPr>
            <w:numPr>
              <w:ilvl w:val="0"/>
              <w:numId w:val="1"/>
            </w:numPr>
            <w:tabs>
              <w:tab w:val="left" w:pos="709"/>
              <w:tab w:val="num" w:pos="1557"/>
            </w:tabs>
            <w:spacing w:after="0" w:line="240" w:lineRule="auto"/>
            <w:ind w:left="0" w:firstLine="0"/>
            <w:jc w:val="both"/>
            <w:rPr>
              <w:sz w:val="24"/>
              <w:szCs w:val="24"/>
              <w:lang w:val="en-GB"/>
            </w:rPr>
          </w:pPr>
          <w:r w:rsidRPr="000D4A19">
            <w:rPr>
              <w:sz w:val="24"/>
              <w:szCs w:val="24"/>
              <w:lang w:val="en-GB"/>
            </w:rPr>
            <w:t>The GET interviewed</w:t>
          </w:r>
          <w:r w:rsidR="005F1840" w:rsidRPr="000D4A19">
            <w:rPr>
              <w:sz w:val="24"/>
              <w:szCs w:val="24"/>
              <w:lang w:val="en-GB"/>
            </w:rPr>
            <w:t xml:space="preserve"> the State Secretary of the Ministry of Justice (also as a representative of the Committee for the Prevention of Corruption), </w:t>
          </w:r>
          <w:r w:rsidR="00682B9C" w:rsidRPr="000D4A19">
            <w:rPr>
              <w:sz w:val="24"/>
              <w:szCs w:val="24"/>
              <w:lang w:val="en-GB"/>
            </w:rPr>
            <w:t xml:space="preserve">parliamentarians and </w:t>
          </w:r>
          <w:r w:rsidRPr="000D4A19">
            <w:rPr>
              <w:sz w:val="24"/>
              <w:szCs w:val="24"/>
              <w:lang w:val="en-GB" w:bidi="x-none"/>
            </w:rPr>
            <w:t>re</w:t>
          </w:r>
          <w:r w:rsidR="00645C71" w:rsidRPr="000D4A19">
            <w:rPr>
              <w:sz w:val="24"/>
              <w:szCs w:val="24"/>
              <w:lang w:val="en-GB" w:bidi="x-none"/>
            </w:rPr>
            <w:t xml:space="preserve">presentatives of </w:t>
          </w:r>
          <w:r w:rsidR="005F1840" w:rsidRPr="000D4A19">
            <w:rPr>
              <w:sz w:val="24"/>
              <w:szCs w:val="24"/>
              <w:lang w:val="en-GB" w:bidi="x-none"/>
            </w:rPr>
            <w:t>the Office of the President, Office of the Prime Minister, Ministry of Public Administration, Ministry of Finance, Ministry of the Interior, State Audit Office, State Commission for the Control of Public Procurement Procedures, the Information Commissioner and USKOK</w:t>
          </w:r>
          <w:r w:rsidR="005F1840" w:rsidRPr="000D4A19">
            <w:rPr>
              <w:rStyle w:val="Referencafusnote"/>
              <w:sz w:val="24"/>
              <w:szCs w:val="24"/>
              <w:lang w:val="en-GB" w:bidi="x-none"/>
            </w:rPr>
            <w:footnoteReference w:id="2"/>
          </w:r>
          <w:r w:rsidR="005F1840" w:rsidRPr="000D4A19">
            <w:rPr>
              <w:sz w:val="24"/>
              <w:szCs w:val="24"/>
              <w:lang w:val="en-GB" w:bidi="x-none"/>
            </w:rPr>
            <w:t xml:space="preserve">.  </w:t>
          </w:r>
          <w:r w:rsidR="00682B9C" w:rsidRPr="000D4A19">
            <w:rPr>
              <w:sz w:val="24"/>
              <w:szCs w:val="24"/>
              <w:lang w:val="en-GB" w:bidi="x-none"/>
            </w:rPr>
            <w:t xml:space="preserve">The GET also interviewed the Ombudswoman and the President and members of the Commission for the Prevention of Conflicts of Interest. In addition, the GET met with representatives of non-governmental organisations, academia, police unions and the media. </w:t>
          </w:r>
          <w:r w:rsidR="005F1840" w:rsidRPr="000D4A19">
            <w:rPr>
              <w:sz w:val="24"/>
              <w:szCs w:val="24"/>
              <w:lang w:val="en-GB" w:bidi="x-none"/>
            </w:rPr>
            <w:t xml:space="preserve"> </w:t>
          </w:r>
        </w:p>
        <w:p w14:paraId="660C2704" w14:textId="7B41C4CD" w:rsidR="00AA4F6D" w:rsidRDefault="002A4EC4" w:rsidP="00AA4F6D">
          <w:pPr>
            <w:tabs>
              <w:tab w:val="left" w:pos="709"/>
            </w:tabs>
            <w:spacing w:after="0" w:line="240" w:lineRule="auto"/>
            <w:jc w:val="both"/>
            <w:rPr>
              <w:lang w:val="en-GB"/>
            </w:rPr>
          </w:pPr>
        </w:p>
      </w:sdtContent>
    </w:sdt>
    <w:p w14:paraId="09584486" w14:textId="77777777" w:rsidR="00AA4F6D" w:rsidRDefault="00AA4F6D">
      <w:pPr>
        <w:rPr>
          <w:rFonts w:eastAsiaTheme="majorEastAsia" w:cstheme="minorHAnsi"/>
          <w:b/>
          <w:bCs/>
          <w:sz w:val="24"/>
          <w:szCs w:val="24"/>
          <w:lang w:val="en-GB"/>
        </w:rPr>
      </w:pPr>
      <w:bookmarkStart w:id="8" w:name="_Toc342554247"/>
      <w:bookmarkStart w:id="9" w:name="_Toc342640922"/>
      <w:bookmarkStart w:id="10" w:name="_Toc25229284"/>
      <w:r>
        <w:rPr>
          <w:rFonts w:cstheme="minorHAnsi"/>
          <w:sz w:val="24"/>
          <w:szCs w:val="24"/>
          <w:lang w:val="en-GB"/>
        </w:rPr>
        <w:br w:type="page"/>
      </w:r>
    </w:p>
    <w:p w14:paraId="61419E9C" w14:textId="2D6EA90E" w:rsidR="00AA4F6D" w:rsidRPr="000D4A19" w:rsidRDefault="00AA4F6D" w:rsidP="00AA4F6D">
      <w:pPr>
        <w:pStyle w:val="Naslov1"/>
        <w:keepNext w:val="0"/>
        <w:keepLines w:val="0"/>
        <w:tabs>
          <w:tab w:val="left" w:pos="709"/>
        </w:tabs>
        <w:spacing w:before="0" w:line="240" w:lineRule="auto"/>
        <w:rPr>
          <w:rFonts w:asciiTheme="minorHAnsi" w:hAnsiTheme="minorHAnsi" w:cstheme="minorHAnsi"/>
          <w:color w:val="auto"/>
          <w:sz w:val="24"/>
          <w:szCs w:val="24"/>
          <w:lang w:val="en-GB"/>
        </w:rPr>
      </w:pPr>
      <w:r w:rsidRPr="000D4A19">
        <w:rPr>
          <w:rFonts w:asciiTheme="minorHAnsi" w:hAnsiTheme="minorHAnsi" w:cstheme="minorHAnsi"/>
          <w:color w:val="auto"/>
          <w:sz w:val="24"/>
          <w:szCs w:val="24"/>
          <w:lang w:val="en-GB"/>
        </w:rPr>
        <w:lastRenderedPageBreak/>
        <w:t>III.</w:t>
      </w:r>
      <w:r w:rsidRPr="000D4A19">
        <w:rPr>
          <w:rFonts w:asciiTheme="minorHAnsi" w:hAnsiTheme="minorHAnsi" w:cstheme="minorHAnsi"/>
          <w:color w:val="auto"/>
          <w:sz w:val="24"/>
          <w:szCs w:val="24"/>
          <w:lang w:val="en-GB"/>
        </w:rPr>
        <w:tab/>
      </w:r>
      <w:r w:rsidRPr="000D4A19">
        <w:rPr>
          <w:rFonts w:asciiTheme="minorHAnsi" w:hAnsiTheme="minorHAnsi" w:cstheme="minorHAnsi"/>
          <w:color w:val="auto"/>
          <w:sz w:val="24"/>
          <w:szCs w:val="24"/>
          <w:u w:val="single"/>
          <w:lang w:val="en-GB"/>
        </w:rPr>
        <w:t>CONTEXT</w:t>
      </w:r>
      <w:bookmarkEnd w:id="8"/>
      <w:bookmarkEnd w:id="9"/>
      <w:bookmarkEnd w:id="10"/>
      <w:r w:rsidRPr="000D4A19">
        <w:rPr>
          <w:rFonts w:asciiTheme="minorHAnsi" w:hAnsiTheme="minorHAnsi" w:cstheme="minorHAnsi"/>
          <w:color w:val="auto"/>
          <w:sz w:val="24"/>
          <w:szCs w:val="24"/>
          <w:lang w:val="en-GB"/>
        </w:rPr>
        <w:t xml:space="preserve"> </w:t>
      </w:r>
    </w:p>
    <w:p w14:paraId="2527F272" w14:textId="77777777" w:rsidR="00AA4F6D" w:rsidRDefault="00AA4F6D" w:rsidP="00AA4F6D">
      <w:pPr>
        <w:tabs>
          <w:tab w:val="left" w:pos="709"/>
        </w:tabs>
        <w:spacing w:after="0" w:line="240" w:lineRule="auto"/>
        <w:jc w:val="both"/>
        <w:rPr>
          <w:lang w:val="en-GB"/>
        </w:rPr>
      </w:pPr>
    </w:p>
    <w:sdt>
      <w:sdtPr>
        <w:rPr>
          <w:lang w:val="en-GB"/>
        </w:rPr>
        <w:tag w:val="{9D95F2F2-293B-4393-A867-4939DEC853EB}"/>
        <w:id w:val="1260179867"/>
        <w:lock w:val="sdtLocked"/>
      </w:sdtPr>
      <w:sdtEndPr/>
      <w:sdtContent>
        <w:bookmarkStart w:id="11" w:name="_Toc318819322" w:displacedByCustomXml="prev"/>
        <w:bookmarkStart w:id="12" w:name="_Toc318819341" w:displacedByCustomXml="prev"/>
        <w:bookmarkStart w:id="13" w:name="_Toc318819361" w:displacedByCustomXml="prev"/>
        <w:bookmarkStart w:id="14" w:name="_Toc342554248" w:displacedByCustomXml="prev"/>
        <w:bookmarkStart w:id="15" w:name="_Toc342640923" w:displacedByCustomXml="prev"/>
        <w:bookmarkStart w:id="16" w:name="_Hlk22557688" w:displacedByCustomXml="prev"/>
        <w:p w14:paraId="4182CC43" w14:textId="134AF807" w:rsidR="00815EA3" w:rsidRPr="00715CBC" w:rsidRDefault="00815EA3" w:rsidP="00715CBC">
          <w:pPr>
            <w:pStyle w:val="Odlomakpopisa"/>
            <w:numPr>
              <w:ilvl w:val="0"/>
              <w:numId w:val="1"/>
            </w:numPr>
            <w:tabs>
              <w:tab w:val="num" w:pos="567"/>
              <w:tab w:val="left" w:pos="709"/>
            </w:tabs>
            <w:spacing w:after="0" w:line="240" w:lineRule="auto"/>
            <w:ind w:left="0" w:firstLine="0"/>
            <w:jc w:val="both"/>
            <w:rPr>
              <w:lang w:val="en-GB"/>
            </w:rPr>
          </w:pPr>
          <w:r w:rsidRPr="00715CBC">
            <w:rPr>
              <w:rFonts w:ascii="Calibri" w:hAnsi="Calibri"/>
              <w:sz w:val="24"/>
              <w:szCs w:val="24"/>
              <w:lang w:val="en-GB"/>
            </w:rPr>
            <w:t>Croatia has been a member of GRECO since 2000. Since then, it has been subject to four evaluation rounds focusing on different topics linked to the prevention of and the fight against corruption</w:t>
          </w:r>
          <w:r w:rsidRPr="000D4A19">
            <w:rPr>
              <w:rStyle w:val="Referencafusnote"/>
              <w:rFonts w:ascii="Calibri" w:hAnsi="Calibri"/>
              <w:sz w:val="24"/>
              <w:szCs w:val="24"/>
              <w:lang w:val="en-GB"/>
            </w:rPr>
            <w:footnoteReference w:id="3"/>
          </w:r>
          <w:r w:rsidRPr="00715CBC">
            <w:rPr>
              <w:rFonts w:ascii="Calibri" w:hAnsi="Calibri"/>
              <w:sz w:val="24"/>
              <w:szCs w:val="24"/>
              <w:lang w:val="en-GB"/>
            </w:rPr>
            <w:t>. Overall, Croatia has had a good track record in implementing GRECO recommendations, with 75% of the First Evaluation Round recommendations implemented and 100% of the recommendations of the Second and Third Evaluation Round</w:t>
          </w:r>
          <w:r w:rsidR="00483EC8" w:rsidRPr="00715CBC">
            <w:rPr>
              <w:rFonts w:ascii="Calibri" w:hAnsi="Calibri"/>
              <w:sz w:val="24"/>
              <w:szCs w:val="24"/>
              <w:lang w:val="en-GB"/>
            </w:rPr>
            <w:t>s</w:t>
          </w:r>
          <w:r w:rsidRPr="00715CBC">
            <w:rPr>
              <w:rFonts w:ascii="Calibri" w:hAnsi="Calibri"/>
              <w:sz w:val="24"/>
              <w:szCs w:val="24"/>
              <w:lang w:val="en-GB"/>
            </w:rPr>
            <w:t xml:space="preserve"> fully implemented. That said, the record has been lower in the Fourth Evaluation Round, dealing with corruption prevention in respect of parliamentarians, judges and prosecutors, with only 45% of the recommendations fully implemented, with 27% partly implemented and 27% not implemented so far.  The compliance procedure under that round is, however, still on-going. </w:t>
          </w:r>
        </w:p>
        <w:p w14:paraId="51E2FD7B" w14:textId="77777777" w:rsidR="00815EA3" w:rsidRPr="000D4A19" w:rsidRDefault="00815EA3" w:rsidP="00815EA3">
          <w:pPr>
            <w:spacing w:after="0" w:line="240" w:lineRule="auto"/>
            <w:jc w:val="both"/>
            <w:rPr>
              <w:rFonts w:ascii="Calibri" w:hAnsi="Calibri"/>
              <w:sz w:val="24"/>
              <w:szCs w:val="24"/>
              <w:lang w:val="en-GB"/>
            </w:rPr>
          </w:pPr>
        </w:p>
        <w:p w14:paraId="0C233B0B" w14:textId="16D64EF4" w:rsidR="00815EA3" w:rsidRPr="000D4A19" w:rsidRDefault="00815EA3" w:rsidP="00815EA3">
          <w:pPr>
            <w:numPr>
              <w:ilvl w:val="0"/>
              <w:numId w:val="1"/>
            </w:numPr>
            <w:tabs>
              <w:tab w:val="left" w:pos="709"/>
            </w:tabs>
            <w:spacing w:after="0" w:line="240" w:lineRule="auto"/>
            <w:ind w:left="0" w:firstLine="0"/>
            <w:jc w:val="both"/>
            <w:rPr>
              <w:rFonts w:ascii="Calibri" w:hAnsi="Calibri"/>
              <w:sz w:val="24"/>
              <w:szCs w:val="24"/>
              <w:lang w:val="en-GB"/>
            </w:rPr>
          </w:pPr>
          <w:r w:rsidRPr="000D4A19">
            <w:rPr>
              <w:rFonts w:ascii="Calibri" w:hAnsi="Calibri"/>
              <w:sz w:val="24"/>
              <w:szCs w:val="24"/>
              <w:lang w:val="en-GB"/>
            </w:rPr>
            <w:t xml:space="preserve">Corruption is widely perceived as </w:t>
          </w:r>
          <w:r w:rsidR="00B068FF" w:rsidRPr="000D4A19">
            <w:rPr>
              <w:rFonts w:ascii="Calibri" w:hAnsi="Calibri"/>
              <w:sz w:val="24"/>
              <w:szCs w:val="24"/>
              <w:lang w:val="en-GB"/>
            </w:rPr>
            <w:t xml:space="preserve">a </w:t>
          </w:r>
          <w:r w:rsidRPr="000D4A19">
            <w:rPr>
              <w:rFonts w:ascii="Calibri" w:hAnsi="Calibri"/>
              <w:sz w:val="24"/>
              <w:szCs w:val="24"/>
              <w:lang w:val="en-GB"/>
            </w:rPr>
            <w:t>major issue affecting Croatia. In Transparency International’s 2018 Corruption Perceptions Index, Croatia scores 48 (out of a total score of 100, with 0 equating highly corrupt and 100 meaning very clean), placing it at 60 out of the 180 countries included in the survey.</w:t>
          </w:r>
          <w:r w:rsidRPr="000D4A19">
            <w:rPr>
              <w:rStyle w:val="Referencafusnote"/>
              <w:rFonts w:ascii="Calibri" w:hAnsi="Calibri"/>
              <w:sz w:val="24"/>
              <w:szCs w:val="24"/>
              <w:lang w:val="en-GB"/>
            </w:rPr>
            <w:footnoteReference w:id="4"/>
          </w:r>
          <w:r w:rsidRPr="000D4A19">
            <w:rPr>
              <w:rFonts w:ascii="Calibri" w:hAnsi="Calibri"/>
              <w:sz w:val="24"/>
              <w:szCs w:val="24"/>
              <w:lang w:val="en-GB"/>
            </w:rPr>
            <w:t xml:space="preserve"> According to the 2017 Eurobarometer, 94% of respondents thought that corruption was widespread in Croatia (EU average: 68%) with 18% more respondents saying that corruption has increased in recent years (58%, with the EU average at 43%). Croatia has one of the highest scores (81%) of all EU countries (52%) of respondents agreeing that political connections are necessary to ensure success in business. Politicians are among the least trusted groups, with 61% of respondents believing that corruption is widespread among them (EU average: 56%).</w:t>
          </w:r>
          <w:r w:rsidRPr="000D4A19">
            <w:rPr>
              <w:rStyle w:val="Referencafusnote"/>
              <w:rFonts w:ascii="Calibri" w:hAnsi="Calibri"/>
              <w:sz w:val="24"/>
              <w:szCs w:val="24"/>
              <w:lang w:val="en-GB"/>
            </w:rPr>
            <w:footnoteReference w:id="5"/>
          </w:r>
          <w:r w:rsidRPr="000D4A19">
            <w:rPr>
              <w:rFonts w:ascii="Calibri" w:hAnsi="Calibri"/>
              <w:sz w:val="24"/>
              <w:szCs w:val="24"/>
              <w:lang w:val="en-GB"/>
            </w:rPr>
            <w:t xml:space="preserve"> </w:t>
          </w:r>
        </w:p>
        <w:p w14:paraId="3E9CC2ED" w14:textId="77777777" w:rsidR="00815EA3" w:rsidRPr="000D4A19" w:rsidRDefault="00815EA3" w:rsidP="00815EA3">
          <w:pPr>
            <w:tabs>
              <w:tab w:val="left" w:pos="709"/>
            </w:tabs>
            <w:spacing w:after="0" w:line="240" w:lineRule="auto"/>
            <w:jc w:val="both"/>
            <w:rPr>
              <w:rFonts w:ascii="Calibri" w:hAnsi="Calibri"/>
              <w:sz w:val="24"/>
              <w:szCs w:val="24"/>
              <w:lang w:val="en-GB"/>
            </w:rPr>
          </w:pPr>
        </w:p>
        <w:p w14:paraId="1EEEE534" w14:textId="72E24D20" w:rsidR="00815EA3" w:rsidRPr="000D4A19" w:rsidRDefault="00815EA3" w:rsidP="00815EA3">
          <w:pPr>
            <w:numPr>
              <w:ilvl w:val="0"/>
              <w:numId w:val="1"/>
            </w:numPr>
            <w:tabs>
              <w:tab w:val="left" w:pos="709"/>
            </w:tabs>
            <w:spacing w:after="0" w:line="240" w:lineRule="auto"/>
            <w:ind w:left="0" w:firstLine="0"/>
            <w:jc w:val="both"/>
            <w:rPr>
              <w:rFonts w:ascii="Calibri" w:hAnsi="Calibri"/>
              <w:sz w:val="24"/>
              <w:szCs w:val="24"/>
              <w:lang w:val="en-GB"/>
            </w:rPr>
          </w:pPr>
          <w:r w:rsidRPr="000D4A19">
            <w:rPr>
              <w:rFonts w:ascii="Calibri" w:hAnsi="Calibri"/>
              <w:sz w:val="24"/>
              <w:szCs w:val="24"/>
              <w:lang w:val="en-GB"/>
            </w:rPr>
            <w:t xml:space="preserve">Over the years, the specialised prosecution service, the </w:t>
          </w:r>
          <w:r w:rsidRPr="000D4A19">
            <w:rPr>
              <w:rFonts w:ascii="Calibri" w:hAnsi="Calibri" w:cstheme="minorHAnsi"/>
              <w:sz w:val="24"/>
              <w:szCs w:val="24"/>
              <w:lang w:val="en-GB"/>
            </w:rPr>
            <w:t>Office for the Suppression of Corruption and Organised Crime (USKOK), and its more recently established counterpart in the police (PN-USKOK), have built up a solid track</w:t>
          </w:r>
          <w:r w:rsidR="00B068FF" w:rsidRPr="000D4A19">
            <w:rPr>
              <w:rFonts w:ascii="Calibri" w:hAnsi="Calibri" w:cstheme="minorHAnsi"/>
              <w:sz w:val="24"/>
              <w:szCs w:val="24"/>
              <w:lang w:val="en-GB"/>
            </w:rPr>
            <w:t xml:space="preserve"> </w:t>
          </w:r>
          <w:r w:rsidRPr="000D4A19">
            <w:rPr>
              <w:rFonts w:ascii="Calibri" w:hAnsi="Calibri" w:cstheme="minorHAnsi"/>
              <w:sz w:val="24"/>
              <w:szCs w:val="24"/>
              <w:lang w:val="en-GB"/>
            </w:rPr>
            <w:t xml:space="preserve">record in investigating and prosecuting high-level corruption-related offences, with several indictments filed against persons who formerly held top executive functions (including in long-running cases against a former prime minister). </w:t>
          </w:r>
          <w:r w:rsidRPr="000D4A19">
            <w:rPr>
              <w:rFonts w:ascii="Calibri" w:hAnsi="Calibri"/>
              <w:sz w:val="24"/>
              <w:szCs w:val="24"/>
              <w:lang w:val="en-GB"/>
            </w:rPr>
            <w:t>Similarly, on the preventive side, the Commission on the Prevention of Conflicts of Interest</w:t>
          </w:r>
          <w:r w:rsidR="0059173B">
            <w:rPr>
              <w:rFonts w:ascii="Calibri" w:hAnsi="Calibri"/>
              <w:sz w:val="24"/>
              <w:szCs w:val="24"/>
              <w:lang w:val="en-GB"/>
            </w:rPr>
            <w:t xml:space="preserve"> has played a pro-active role</w:t>
          </w:r>
          <w:r w:rsidRPr="000D4A19">
            <w:rPr>
              <w:rFonts w:ascii="Calibri" w:hAnsi="Calibri"/>
              <w:sz w:val="24"/>
              <w:szCs w:val="24"/>
              <w:lang w:val="en-GB"/>
            </w:rPr>
            <w:t xml:space="preserve"> in upholding the Law on the Prevention of Conflicts of Interest</w:t>
          </w:r>
          <w:r w:rsidR="00DA21C4">
            <w:rPr>
              <w:rFonts w:ascii="Calibri" w:hAnsi="Calibri"/>
              <w:sz w:val="24"/>
              <w:szCs w:val="24"/>
              <w:lang w:val="en-GB"/>
            </w:rPr>
            <w:t>, in particular when it comes to persons who hold or have held top executive functions</w:t>
          </w:r>
          <w:r w:rsidRPr="000D4A19">
            <w:rPr>
              <w:rFonts w:ascii="Calibri" w:hAnsi="Calibri"/>
              <w:sz w:val="24"/>
              <w:szCs w:val="24"/>
              <w:lang w:val="en-GB"/>
            </w:rPr>
            <w:t xml:space="preserve">. </w:t>
          </w:r>
          <w:r w:rsidR="00697269">
            <w:rPr>
              <w:rFonts w:ascii="Calibri" w:hAnsi="Calibri"/>
              <w:sz w:val="24"/>
              <w:szCs w:val="24"/>
              <w:lang w:val="en-GB"/>
            </w:rPr>
            <w:t>One of these cases</w:t>
          </w:r>
          <w:r w:rsidRPr="000D4A19">
            <w:rPr>
              <w:rFonts w:ascii="Calibri" w:hAnsi="Calibri"/>
              <w:sz w:val="24"/>
              <w:szCs w:val="24"/>
              <w:lang w:val="en-GB"/>
            </w:rPr>
            <w:t xml:space="preserve">, </w:t>
          </w:r>
          <w:r w:rsidR="003F0B82">
            <w:rPr>
              <w:rFonts w:ascii="Calibri" w:hAnsi="Calibri"/>
              <w:sz w:val="24"/>
              <w:szCs w:val="24"/>
              <w:lang w:val="en-GB"/>
            </w:rPr>
            <w:t xml:space="preserve">related to </w:t>
          </w:r>
          <w:r w:rsidRPr="000D4A19">
            <w:rPr>
              <w:rFonts w:ascii="Calibri" w:hAnsi="Calibri"/>
              <w:sz w:val="24"/>
              <w:szCs w:val="24"/>
              <w:lang w:val="en-GB"/>
            </w:rPr>
            <w:t>the near collapse of the biggest food company in the region</w:t>
          </w:r>
          <w:r w:rsidR="00E2154E" w:rsidRPr="000D4A19">
            <w:rPr>
              <w:rFonts w:ascii="Calibri" w:hAnsi="Calibri"/>
              <w:sz w:val="24"/>
              <w:szCs w:val="24"/>
              <w:lang w:val="en-GB"/>
            </w:rPr>
            <w:t xml:space="preserve">, </w:t>
          </w:r>
          <w:r w:rsidR="00697269">
            <w:rPr>
              <w:rFonts w:ascii="Calibri" w:hAnsi="Calibri"/>
              <w:sz w:val="24"/>
              <w:szCs w:val="24"/>
              <w:lang w:val="en-GB"/>
            </w:rPr>
            <w:t xml:space="preserve">has been the focus of intense media scrutiny and </w:t>
          </w:r>
          <w:r w:rsidRPr="000D4A19">
            <w:rPr>
              <w:rFonts w:ascii="Calibri" w:hAnsi="Calibri"/>
              <w:sz w:val="24"/>
              <w:szCs w:val="24"/>
              <w:lang w:val="en-GB"/>
            </w:rPr>
            <w:t>continue</w:t>
          </w:r>
          <w:r w:rsidR="00E2154E" w:rsidRPr="000D4A19">
            <w:rPr>
              <w:rFonts w:ascii="Calibri" w:hAnsi="Calibri"/>
              <w:sz w:val="24"/>
              <w:szCs w:val="24"/>
              <w:lang w:val="en-GB"/>
            </w:rPr>
            <w:t>s to cast its shadow to t</w:t>
          </w:r>
          <w:r w:rsidRPr="000D4A19">
            <w:rPr>
              <w:rFonts w:ascii="Calibri" w:hAnsi="Calibri"/>
              <w:sz w:val="24"/>
              <w:szCs w:val="24"/>
              <w:lang w:val="en-GB"/>
            </w:rPr>
            <w:t>his day.</w:t>
          </w:r>
          <w:r w:rsidRPr="000D4A19">
            <w:rPr>
              <w:rStyle w:val="Referencafusnote"/>
              <w:rFonts w:ascii="Calibri" w:hAnsi="Calibri"/>
              <w:sz w:val="24"/>
              <w:szCs w:val="24"/>
              <w:lang w:val="en-GB"/>
            </w:rPr>
            <w:footnoteReference w:id="6"/>
          </w:r>
          <w:r w:rsidRPr="000D4A19">
            <w:rPr>
              <w:rFonts w:ascii="Calibri" w:hAnsi="Calibri"/>
              <w:sz w:val="24"/>
              <w:szCs w:val="24"/>
              <w:lang w:val="en-GB"/>
            </w:rPr>
            <w:t xml:space="preserve"> In this </w:t>
          </w:r>
          <w:r w:rsidRPr="000D4A19">
            <w:rPr>
              <w:rFonts w:ascii="Calibri" w:hAnsi="Calibri"/>
              <w:sz w:val="24"/>
              <w:szCs w:val="24"/>
              <w:lang w:val="en-GB"/>
            </w:rPr>
            <w:lastRenderedPageBreak/>
            <w:t xml:space="preserve">connection, the GET stresses </w:t>
          </w:r>
          <w:r w:rsidRPr="000D4A19">
            <w:rPr>
              <w:sz w:val="24"/>
              <w:szCs w:val="24"/>
              <w:lang w:val="en-GB"/>
            </w:rPr>
            <w:t xml:space="preserve">the importance </w:t>
          </w:r>
          <w:r w:rsidR="00B068FF" w:rsidRPr="000D4A19">
            <w:rPr>
              <w:sz w:val="24"/>
              <w:szCs w:val="24"/>
              <w:lang w:val="en-GB"/>
            </w:rPr>
            <w:t>of</w:t>
          </w:r>
          <w:r w:rsidRPr="000D4A19">
            <w:rPr>
              <w:sz w:val="24"/>
              <w:szCs w:val="24"/>
              <w:lang w:val="en-GB"/>
            </w:rPr>
            <w:t xml:space="preserve"> officials (irrespective of their position) show</w:t>
          </w:r>
          <w:r w:rsidR="00B068FF" w:rsidRPr="000D4A19">
            <w:rPr>
              <w:sz w:val="24"/>
              <w:szCs w:val="24"/>
              <w:lang w:val="en-GB"/>
            </w:rPr>
            <w:t>ing</w:t>
          </w:r>
          <w:r w:rsidRPr="000D4A19">
            <w:rPr>
              <w:sz w:val="24"/>
              <w:szCs w:val="24"/>
              <w:lang w:val="en-GB"/>
            </w:rPr>
            <w:t xml:space="preserve"> full cooperation with, independent institutions, such as the Commission for the Prevention of Conflicts of Interest, so that they can properly and effectively fulfil their mandate, as provided for by law. </w:t>
          </w:r>
        </w:p>
        <w:p w14:paraId="4DDBACF8" w14:textId="77777777" w:rsidR="00815EA3" w:rsidRPr="000D4A19" w:rsidRDefault="00815EA3" w:rsidP="00815EA3">
          <w:pPr>
            <w:spacing w:after="0" w:line="240" w:lineRule="auto"/>
            <w:jc w:val="both"/>
            <w:rPr>
              <w:rFonts w:ascii="Calibri" w:hAnsi="Calibri"/>
              <w:sz w:val="24"/>
              <w:szCs w:val="24"/>
              <w:lang w:val="en-GB"/>
            </w:rPr>
          </w:pPr>
        </w:p>
        <w:p w14:paraId="7F877EF5" w14:textId="6FC652AA" w:rsidR="00815EA3" w:rsidRPr="000D4A19" w:rsidRDefault="00815EA3" w:rsidP="00815EA3">
          <w:pPr>
            <w:numPr>
              <w:ilvl w:val="0"/>
              <w:numId w:val="1"/>
            </w:numPr>
            <w:tabs>
              <w:tab w:val="left" w:pos="709"/>
            </w:tabs>
            <w:spacing w:after="0" w:line="240" w:lineRule="auto"/>
            <w:ind w:left="0" w:firstLine="0"/>
            <w:jc w:val="both"/>
            <w:rPr>
              <w:rFonts w:ascii="Calibri" w:hAnsi="Calibri"/>
              <w:sz w:val="24"/>
              <w:szCs w:val="24"/>
              <w:lang w:val="en-GB"/>
            </w:rPr>
          </w:pPr>
          <w:r w:rsidRPr="000D4A19">
            <w:rPr>
              <w:rFonts w:ascii="Calibri" w:hAnsi="Calibri"/>
              <w:sz w:val="24"/>
              <w:szCs w:val="24"/>
              <w:lang w:val="en-GB"/>
            </w:rPr>
            <w:t xml:space="preserve">The police in Croatia enjoys a slightly higher level of trust than politicians, but still 55% of respondents </w:t>
          </w:r>
          <w:r w:rsidR="00B068FF" w:rsidRPr="000D4A19">
            <w:rPr>
              <w:rFonts w:ascii="Calibri" w:hAnsi="Calibri"/>
              <w:sz w:val="24"/>
              <w:szCs w:val="24"/>
              <w:lang w:val="en-GB"/>
            </w:rPr>
            <w:t>to</w:t>
          </w:r>
          <w:r w:rsidRPr="000D4A19">
            <w:rPr>
              <w:rFonts w:ascii="Calibri" w:hAnsi="Calibri"/>
              <w:sz w:val="24"/>
              <w:szCs w:val="24"/>
              <w:lang w:val="en-GB"/>
            </w:rPr>
            <w:t xml:space="preserve"> recent surveys think that corruption is widespread in the police, which is significantly higher than the EU average of 31%.</w:t>
          </w:r>
          <w:r w:rsidRPr="000D4A19">
            <w:rPr>
              <w:rStyle w:val="Referencafusnote"/>
              <w:rFonts w:ascii="Calibri" w:hAnsi="Calibri"/>
              <w:sz w:val="24"/>
              <w:szCs w:val="24"/>
              <w:lang w:val="en-GB"/>
            </w:rPr>
            <w:footnoteReference w:id="7"/>
          </w:r>
          <w:r w:rsidRPr="000D4A19">
            <w:rPr>
              <w:rFonts w:ascii="Calibri" w:hAnsi="Calibri"/>
              <w:sz w:val="24"/>
              <w:szCs w:val="24"/>
              <w:lang w:val="en-GB"/>
            </w:rPr>
            <w:t xml:space="preserve"> In addition to rather developed and specialised law enforcement to investigate corruption, it would appear that more needs to be done to prevent risks of corruption within the police itself, in terms of strategic measures to minimise conflicts of interest and to manage such situations in practice, as shown in this report.   </w:t>
          </w:r>
        </w:p>
        <w:p w14:paraId="425EA0EC" w14:textId="3CCD5957" w:rsidR="009A0D7D" w:rsidRPr="000D4A19" w:rsidRDefault="009A0D7D" w:rsidP="00F43323">
          <w:pPr>
            <w:tabs>
              <w:tab w:val="left" w:pos="709"/>
            </w:tabs>
            <w:spacing w:after="0" w:line="240" w:lineRule="auto"/>
            <w:jc w:val="both"/>
            <w:rPr>
              <w:rFonts w:ascii="Calibri" w:hAnsi="Calibri" w:cstheme="minorHAnsi"/>
              <w:sz w:val="24"/>
              <w:szCs w:val="24"/>
              <w:lang w:val="en-GB"/>
            </w:rPr>
          </w:pPr>
        </w:p>
        <w:bookmarkEnd w:id="16"/>
        <w:p w14:paraId="07E712E3" w14:textId="7B61DD45" w:rsidR="00121C52" w:rsidRPr="000D4A19" w:rsidRDefault="00121C52" w:rsidP="00645C71">
          <w:pPr>
            <w:tabs>
              <w:tab w:val="left" w:pos="709"/>
            </w:tabs>
            <w:spacing w:after="0" w:line="240" w:lineRule="auto"/>
            <w:jc w:val="both"/>
            <w:rPr>
              <w:sz w:val="24"/>
              <w:szCs w:val="24"/>
              <w:lang w:val="en-GB"/>
            </w:rPr>
          </w:pPr>
        </w:p>
        <w:p w14:paraId="46CC34C1" w14:textId="77777777" w:rsidR="00121C52" w:rsidRPr="000D4A19" w:rsidRDefault="00121C52" w:rsidP="004B7CAB">
          <w:pPr>
            <w:tabs>
              <w:tab w:val="left" w:pos="709"/>
            </w:tabs>
            <w:spacing w:after="0" w:line="240" w:lineRule="auto"/>
            <w:jc w:val="both"/>
            <w:rPr>
              <w:rFonts w:cstheme="minorHAnsi"/>
              <w:sz w:val="24"/>
              <w:szCs w:val="24"/>
              <w:lang w:val="en-GB"/>
            </w:rPr>
          </w:pPr>
          <w:bookmarkStart w:id="17" w:name="_Toc342554299"/>
          <w:bookmarkStart w:id="18" w:name="_Toc342640974"/>
          <w:bookmarkEnd w:id="15"/>
          <w:bookmarkEnd w:id="14"/>
          <w:bookmarkEnd w:id="13"/>
          <w:bookmarkEnd w:id="12"/>
          <w:bookmarkEnd w:id="11"/>
        </w:p>
        <w:p w14:paraId="27C412B6" w14:textId="563CF394" w:rsidR="00121C52" w:rsidRPr="000D4A19" w:rsidRDefault="00121C52" w:rsidP="00905A15">
          <w:pPr>
            <w:tabs>
              <w:tab w:val="left" w:pos="709"/>
            </w:tabs>
            <w:spacing w:after="0" w:line="240" w:lineRule="auto"/>
            <w:jc w:val="both"/>
            <w:rPr>
              <w:sz w:val="24"/>
              <w:szCs w:val="24"/>
              <w:lang w:val="en-GB"/>
            </w:rPr>
          </w:pPr>
        </w:p>
        <w:p w14:paraId="280E9893" w14:textId="77777777" w:rsidR="00FA3EA5" w:rsidRPr="000D4A19" w:rsidRDefault="00C762F8" w:rsidP="004B7CAB">
          <w:pPr>
            <w:spacing w:after="0" w:line="240" w:lineRule="auto"/>
            <w:rPr>
              <w:sz w:val="24"/>
              <w:szCs w:val="24"/>
              <w:lang w:val="en-GB"/>
            </w:rPr>
          </w:pPr>
          <w:r w:rsidRPr="000D4A19">
            <w:rPr>
              <w:sz w:val="24"/>
              <w:szCs w:val="24"/>
              <w:lang w:val="en-GB"/>
            </w:rPr>
            <w:br w:type="page"/>
          </w:r>
        </w:p>
      </w:sdtContent>
    </w:sdt>
    <w:p w14:paraId="53000BAE" w14:textId="77777777" w:rsidR="0010115C" w:rsidRPr="000D4A19" w:rsidRDefault="002A3044" w:rsidP="00E071E3">
      <w:pPr>
        <w:pStyle w:val="Naslov1"/>
        <w:jc w:val="both"/>
        <w:rPr>
          <w:rFonts w:asciiTheme="minorHAnsi" w:hAnsiTheme="minorHAnsi" w:cstheme="minorHAnsi"/>
          <w:color w:val="auto"/>
          <w:sz w:val="24"/>
          <w:szCs w:val="24"/>
          <w:lang w:val="en-GB"/>
        </w:rPr>
      </w:pPr>
      <w:bookmarkStart w:id="19" w:name="_Toc25229285"/>
      <w:r w:rsidRPr="000D4A19">
        <w:rPr>
          <w:rFonts w:asciiTheme="minorHAnsi" w:hAnsiTheme="minorHAnsi" w:cstheme="minorHAnsi"/>
          <w:color w:val="auto"/>
          <w:sz w:val="24"/>
          <w:szCs w:val="24"/>
          <w:lang w:val="en-GB"/>
        </w:rPr>
        <w:lastRenderedPageBreak/>
        <w:t xml:space="preserve">IV. </w:t>
      </w:r>
      <w:r w:rsidRPr="000D4A19">
        <w:rPr>
          <w:rFonts w:asciiTheme="minorHAnsi" w:hAnsiTheme="minorHAnsi" w:cstheme="minorHAnsi"/>
          <w:color w:val="auto"/>
          <w:sz w:val="24"/>
          <w:szCs w:val="24"/>
          <w:lang w:val="en-GB"/>
        </w:rPr>
        <w:tab/>
      </w:r>
      <w:r w:rsidR="00C762F8" w:rsidRPr="000D4A19">
        <w:rPr>
          <w:rFonts w:asciiTheme="minorHAnsi" w:hAnsiTheme="minorHAnsi" w:cstheme="minorHAnsi"/>
          <w:color w:val="auto"/>
          <w:sz w:val="24"/>
          <w:szCs w:val="24"/>
          <w:u w:val="single"/>
          <w:lang w:val="en-GB"/>
        </w:rPr>
        <w:t>CORRUPTION PREVENTION IN CENTRAL GOVERNMENTS (TOP EXECUTIVE FUNCTIONS)</w:t>
      </w:r>
      <w:bookmarkEnd w:id="19"/>
    </w:p>
    <w:bookmarkStart w:id="20" w:name="_Toc342554249" w:displacedByCustomXml="next"/>
    <w:bookmarkStart w:id="21" w:name="_Toc342640924" w:displacedByCustomXml="next"/>
    <w:sdt>
      <w:sdtPr>
        <w:rPr>
          <w:rFonts w:ascii="Verdana" w:eastAsiaTheme="minorHAnsi" w:hAnsi="Verdana" w:cstheme="minorBidi"/>
          <w:b w:val="0"/>
          <w:bCs w:val="0"/>
          <w:color w:val="auto"/>
          <w:sz w:val="20"/>
          <w:szCs w:val="20"/>
          <w:lang w:val="en-GB"/>
        </w:rPr>
        <w:tag w:val="{25960F0C-206A-45BC-8B40-F5E432FCDD2D}"/>
        <w:id w:val="-1788340508"/>
        <w:lock w:val="sdtLocked"/>
      </w:sdtPr>
      <w:sdtEndPr>
        <w:rPr>
          <w:rFonts w:asciiTheme="minorHAnsi" w:hAnsiTheme="minorHAnsi"/>
          <w:sz w:val="22"/>
          <w:szCs w:val="22"/>
        </w:rPr>
      </w:sdtEndPr>
      <w:sdtContent>
        <w:p w14:paraId="43CCE89A" w14:textId="77777777" w:rsidR="00C762F8" w:rsidRPr="000D4A19" w:rsidRDefault="00C762F8" w:rsidP="004B7CAB">
          <w:pPr>
            <w:pStyle w:val="Naslov2"/>
            <w:keepNext w:val="0"/>
            <w:keepLines w:val="0"/>
            <w:tabs>
              <w:tab w:val="left" w:pos="709"/>
            </w:tabs>
            <w:spacing w:before="0" w:line="240" w:lineRule="auto"/>
            <w:rPr>
              <w:rFonts w:ascii="Verdana" w:hAnsi="Verdana"/>
              <w:b w:val="0"/>
              <w:bCs w:val="0"/>
              <w:color w:val="auto"/>
              <w:sz w:val="20"/>
              <w:szCs w:val="20"/>
              <w:u w:val="single"/>
              <w:lang w:val="en-GB"/>
            </w:rPr>
          </w:pPr>
        </w:p>
        <w:p w14:paraId="27044658" w14:textId="77777777" w:rsidR="009919AC" w:rsidRPr="000D4A19" w:rsidRDefault="009919AC" w:rsidP="00051311">
          <w:pPr>
            <w:pStyle w:val="Naslov2"/>
            <w:keepNext w:val="0"/>
            <w:keepLines w:val="0"/>
            <w:tabs>
              <w:tab w:val="left" w:pos="709"/>
            </w:tabs>
            <w:spacing w:before="0" w:line="240" w:lineRule="auto"/>
            <w:jc w:val="both"/>
            <w:rPr>
              <w:rFonts w:asciiTheme="minorHAnsi" w:hAnsiTheme="minorHAnsi"/>
              <w:color w:val="auto"/>
              <w:sz w:val="24"/>
              <w:szCs w:val="24"/>
              <w:u w:val="single"/>
              <w:lang w:val="en-GB"/>
            </w:rPr>
          </w:pPr>
          <w:bookmarkStart w:id="22" w:name="_Toc4762848"/>
          <w:bookmarkStart w:id="23" w:name="_Toc25229286"/>
          <w:bookmarkEnd w:id="21"/>
          <w:bookmarkEnd w:id="20"/>
          <w:r w:rsidRPr="000D4A19">
            <w:rPr>
              <w:rFonts w:asciiTheme="minorHAnsi" w:hAnsiTheme="minorHAnsi"/>
              <w:color w:val="auto"/>
              <w:sz w:val="24"/>
              <w:szCs w:val="24"/>
              <w:u w:val="single"/>
              <w:lang w:val="en-GB"/>
            </w:rPr>
            <w:t>System of government and top executive functions</w:t>
          </w:r>
          <w:bookmarkEnd w:id="22"/>
          <w:bookmarkEnd w:id="23"/>
        </w:p>
        <w:p w14:paraId="6A0B751C" w14:textId="77777777" w:rsidR="00A7682E" w:rsidRPr="000D4A19" w:rsidRDefault="00A7682E" w:rsidP="00051311">
          <w:pPr>
            <w:tabs>
              <w:tab w:val="num" w:pos="4679"/>
            </w:tabs>
            <w:spacing w:after="0" w:line="240" w:lineRule="auto"/>
            <w:jc w:val="both"/>
            <w:rPr>
              <w:rFonts w:cstheme="minorHAnsi"/>
              <w:sz w:val="24"/>
              <w:szCs w:val="24"/>
              <w:lang w:val="en-GB"/>
            </w:rPr>
          </w:pPr>
        </w:p>
        <w:p w14:paraId="54989687" w14:textId="77777777" w:rsidR="00A7682E" w:rsidRPr="000D4A19" w:rsidRDefault="00A7682E" w:rsidP="00051311">
          <w:pPr>
            <w:pStyle w:val="Naslov3"/>
            <w:spacing w:before="0" w:line="240" w:lineRule="auto"/>
            <w:rPr>
              <w:rFonts w:asciiTheme="minorHAnsi" w:hAnsiTheme="minorHAnsi" w:cstheme="minorHAnsi"/>
              <w:b w:val="0"/>
              <w:i/>
              <w:color w:val="auto"/>
              <w:sz w:val="24"/>
              <w:szCs w:val="24"/>
              <w:lang w:val="en-GB"/>
            </w:rPr>
          </w:pPr>
          <w:bookmarkStart w:id="24" w:name="_Toc25229287"/>
          <w:r w:rsidRPr="000D4A19">
            <w:rPr>
              <w:rFonts w:asciiTheme="minorHAnsi" w:hAnsiTheme="minorHAnsi" w:cstheme="minorHAnsi"/>
              <w:b w:val="0"/>
              <w:i/>
              <w:color w:val="auto"/>
              <w:sz w:val="24"/>
              <w:szCs w:val="24"/>
              <w:lang w:val="en-GB"/>
            </w:rPr>
            <w:t>The President</w:t>
          </w:r>
          <w:bookmarkEnd w:id="24"/>
        </w:p>
        <w:p w14:paraId="7CD38D55" w14:textId="77777777" w:rsidR="00A7682E" w:rsidRPr="000D4A19" w:rsidRDefault="00A7682E" w:rsidP="00051311">
          <w:pPr>
            <w:tabs>
              <w:tab w:val="num" w:pos="4679"/>
            </w:tabs>
            <w:spacing w:after="0" w:line="240" w:lineRule="auto"/>
            <w:jc w:val="both"/>
            <w:rPr>
              <w:rFonts w:cstheme="minorHAnsi"/>
              <w:sz w:val="24"/>
              <w:szCs w:val="24"/>
              <w:lang w:val="en-GB"/>
            </w:rPr>
          </w:pPr>
        </w:p>
        <w:p w14:paraId="5AE20358" w14:textId="00E9F466" w:rsidR="009919AC" w:rsidRPr="000D4A19" w:rsidRDefault="00A7682E" w:rsidP="004B7CAB">
          <w:pPr>
            <w:numPr>
              <w:ilvl w:val="0"/>
              <w:numId w:val="1"/>
            </w:numPr>
            <w:tabs>
              <w:tab w:val="left" w:pos="709"/>
              <w:tab w:val="num" w:pos="1557"/>
              <w:tab w:val="num" w:pos="4679"/>
            </w:tabs>
            <w:spacing w:after="0" w:line="240" w:lineRule="auto"/>
            <w:ind w:left="0" w:firstLine="0"/>
            <w:jc w:val="both"/>
            <w:rPr>
              <w:rFonts w:cstheme="minorHAnsi"/>
              <w:sz w:val="24"/>
              <w:szCs w:val="24"/>
              <w:lang w:val="en-GB"/>
            </w:rPr>
          </w:pPr>
          <w:r w:rsidRPr="000D4A19">
            <w:rPr>
              <w:rFonts w:cstheme="minorHAnsi"/>
              <w:sz w:val="24"/>
              <w:szCs w:val="24"/>
              <w:lang w:val="en-GB"/>
            </w:rPr>
            <w:t>Croatia is a parliamentary republic, with a multi-party</w:t>
          </w:r>
          <w:r w:rsidR="00B068FF" w:rsidRPr="000D4A19">
            <w:rPr>
              <w:rFonts w:cstheme="minorHAnsi"/>
              <w:sz w:val="24"/>
              <w:szCs w:val="24"/>
              <w:lang w:val="en-GB"/>
            </w:rPr>
            <w:t xml:space="preserve"> </w:t>
          </w:r>
          <w:r w:rsidRPr="000D4A19">
            <w:rPr>
              <w:rFonts w:cstheme="minorHAnsi"/>
              <w:sz w:val="24"/>
              <w:szCs w:val="24"/>
              <w:lang w:val="en-GB"/>
            </w:rPr>
            <w:t xml:space="preserve">political system. </w:t>
          </w:r>
          <w:r w:rsidR="009919AC" w:rsidRPr="000D4A19">
            <w:rPr>
              <w:rFonts w:cstheme="minorHAnsi"/>
              <w:sz w:val="24"/>
              <w:szCs w:val="24"/>
              <w:lang w:val="en-GB"/>
            </w:rPr>
            <w:t xml:space="preserve">The Head of State is the </w:t>
          </w:r>
          <w:r w:rsidR="009919AC" w:rsidRPr="000D4A19">
            <w:rPr>
              <w:rFonts w:cstheme="minorHAnsi"/>
              <w:sz w:val="24"/>
              <w:szCs w:val="24"/>
              <w:u w:val="single"/>
              <w:lang w:val="en-GB"/>
            </w:rPr>
            <w:t>President</w:t>
          </w:r>
          <w:r w:rsidRPr="000D4A19">
            <w:rPr>
              <w:rFonts w:cstheme="minorHAnsi"/>
              <w:sz w:val="24"/>
              <w:szCs w:val="24"/>
              <w:lang w:val="en-GB"/>
            </w:rPr>
            <w:t xml:space="preserve">, who is </w:t>
          </w:r>
          <w:r w:rsidR="009919AC" w:rsidRPr="000D4A19">
            <w:rPr>
              <w:rFonts w:cstheme="minorHAnsi"/>
              <w:sz w:val="24"/>
              <w:szCs w:val="24"/>
              <w:lang w:val="en-GB"/>
            </w:rPr>
            <w:t>directly elected for a five-year term (renewable once) by a simple majority of votes.</w:t>
          </w:r>
          <w:r w:rsidRPr="000D4A19">
            <w:rPr>
              <w:rStyle w:val="Referencafusnote"/>
              <w:rFonts w:cstheme="minorHAnsi"/>
              <w:sz w:val="24"/>
              <w:szCs w:val="24"/>
              <w:lang w:val="en-GB"/>
            </w:rPr>
            <w:footnoteReference w:id="8"/>
          </w:r>
          <w:r w:rsidR="009919AC" w:rsidRPr="000D4A19">
            <w:rPr>
              <w:rFonts w:cstheme="minorHAnsi"/>
              <w:sz w:val="24"/>
              <w:szCs w:val="24"/>
              <w:lang w:val="en-GB"/>
            </w:rPr>
            <w:t xml:space="preserve"> </w:t>
          </w:r>
          <w:r w:rsidRPr="000D4A19">
            <w:rPr>
              <w:rFonts w:cstheme="minorHAnsi"/>
              <w:sz w:val="24"/>
              <w:szCs w:val="24"/>
              <w:lang w:val="en-GB"/>
            </w:rPr>
            <w:t xml:space="preserve">The President’s duties </w:t>
          </w:r>
          <w:r w:rsidR="009919AC" w:rsidRPr="000D4A19">
            <w:rPr>
              <w:rFonts w:cstheme="minorHAnsi"/>
              <w:sz w:val="24"/>
              <w:szCs w:val="24"/>
              <w:lang w:val="en-GB"/>
            </w:rPr>
            <w:t xml:space="preserve">are incompatible with any other public or professional function and s/he is to resign from membership of a political party once elected (Article 96, Constitution). </w:t>
          </w:r>
        </w:p>
        <w:p w14:paraId="2BA71E69" w14:textId="77777777" w:rsidR="009919AC" w:rsidRPr="000D4A19" w:rsidRDefault="009919AC" w:rsidP="004B7CAB">
          <w:pPr>
            <w:spacing w:after="0" w:line="240" w:lineRule="auto"/>
            <w:jc w:val="both"/>
            <w:rPr>
              <w:rFonts w:cstheme="minorHAnsi"/>
              <w:sz w:val="24"/>
              <w:szCs w:val="24"/>
              <w:lang w:val="en-GB"/>
            </w:rPr>
          </w:pPr>
        </w:p>
        <w:p w14:paraId="69E21FA8" w14:textId="1EF427AD" w:rsidR="00A318AC" w:rsidRPr="000D4A19" w:rsidRDefault="009919AC" w:rsidP="00D65D2A">
          <w:pPr>
            <w:numPr>
              <w:ilvl w:val="0"/>
              <w:numId w:val="1"/>
            </w:numPr>
            <w:tabs>
              <w:tab w:val="left" w:pos="709"/>
              <w:tab w:val="num" w:pos="1557"/>
              <w:tab w:val="num" w:pos="4679"/>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According to the Constitution (Article 94), the President represents Croatia at home and abroad, ensures the regular and balanced functioning and stability of government and is responsible for defence of the independence and territorial integrity of Croatia. S/he has the procedural duty of entrusting the mandate to form a government to a person (Prime Minister-designate), who </w:t>
          </w:r>
          <w:r w:rsidRPr="000D4A19">
            <w:rPr>
              <w:rFonts w:ascii="MS Gothic" w:eastAsia="MS Gothic"/>
              <w:color w:val="000000"/>
              <w:sz w:val="24"/>
              <w:szCs w:val="24"/>
              <w:lang w:val="en-GB"/>
            </w:rPr>
            <w:t>–</w:t>
          </w:r>
          <w:r w:rsidRPr="000D4A19">
            <w:rPr>
              <w:rFonts w:cstheme="minorHAnsi"/>
              <w:sz w:val="24"/>
              <w:szCs w:val="24"/>
              <w:lang w:val="en-GB"/>
            </w:rPr>
            <w:t xml:space="preserve"> as evident from the distribution of seats in the Parliament and prior consultations </w:t>
          </w:r>
          <w:r w:rsidRPr="000D4A19">
            <w:rPr>
              <w:rFonts w:ascii="MS Gothic" w:eastAsia="MS Gothic"/>
              <w:color w:val="000000"/>
              <w:sz w:val="24"/>
              <w:szCs w:val="24"/>
              <w:lang w:val="en-GB"/>
            </w:rPr>
            <w:t>–</w:t>
          </w:r>
          <w:r w:rsidRPr="000D4A19">
            <w:rPr>
              <w:rFonts w:cstheme="minorHAnsi"/>
              <w:sz w:val="24"/>
              <w:szCs w:val="24"/>
              <w:lang w:val="en-GB"/>
            </w:rPr>
            <w:t xml:space="preserve"> enjoys the confidence of a majority of Members of the Parliament (</w:t>
          </w:r>
          <w:r w:rsidRPr="000D4A19">
            <w:rPr>
              <w:rFonts w:cstheme="minorHAnsi"/>
              <w:i/>
              <w:sz w:val="24"/>
              <w:szCs w:val="24"/>
              <w:lang w:val="en-GB"/>
            </w:rPr>
            <w:t>Sabor</w:t>
          </w:r>
          <w:r w:rsidRPr="000D4A19">
            <w:rPr>
              <w:rStyle w:val="Referencafusnote"/>
              <w:rFonts w:cstheme="minorHAnsi"/>
              <w:i/>
              <w:sz w:val="24"/>
              <w:szCs w:val="24"/>
              <w:lang w:val="en-GB"/>
            </w:rPr>
            <w:footnoteReference w:id="9"/>
          </w:r>
          <w:r w:rsidRPr="000D4A19">
            <w:rPr>
              <w:rFonts w:cstheme="minorHAnsi"/>
              <w:sz w:val="24"/>
              <w:szCs w:val="24"/>
              <w:lang w:val="en-GB"/>
            </w:rPr>
            <w:t>).</w:t>
          </w:r>
          <w:r w:rsidR="003C1CF0" w:rsidRPr="000D4A19">
            <w:rPr>
              <w:rFonts w:cstheme="minorHAnsi"/>
              <w:sz w:val="24"/>
              <w:szCs w:val="24"/>
              <w:lang w:val="en-GB"/>
            </w:rPr>
            <w:t xml:space="preserve"> </w:t>
          </w:r>
        </w:p>
        <w:p w14:paraId="7EE05403" w14:textId="77777777" w:rsidR="00A318AC" w:rsidRPr="000D4A19" w:rsidRDefault="00A318AC" w:rsidP="00645C71">
          <w:pPr>
            <w:tabs>
              <w:tab w:val="left" w:pos="709"/>
              <w:tab w:val="num" w:pos="4679"/>
            </w:tabs>
            <w:spacing w:after="0" w:line="240" w:lineRule="auto"/>
            <w:jc w:val="both"/>
            <w:rPr>
              <w:rFonts w:cstheme="minorHAnsi"/>
              <w:sz w:val="24"/>
              <w:szCs w:val="24"/>
              <w:lang w:val="en-GB"/>
            </w:rPr>
          </w:pPr>
        </w:p>
        <w:p w14:paraId="43BB224E" w14:textId="5E785D21" w:rsidR="008A1385" w:rsidRPr="000D4A19" w:rsidRDefault="00A318AC" w:rsidP="008A1385">
          <w:pPr>
            <w:numPr>
              <w:ilvl w:val="0"/>
              <w:numId w:val="1"/>
            </w:numPr>
            <w:tabs>
              <w:tab w:val="left" w:pos="709"/>
              <w:tab w:val="num" w:pos="1557"/>
              <w:tab w:val="num" w:pos="4679"/>
            </w:tabs>
            <w:spacing w:after="0" w:line="240" w:lineRule="auto"/>
            <w:ind w:left="0" w:firstLine="0"/>
            <w:jc w:val="both"/>
            <w:rPr>
              <w:rFonts w:cstheme="minorHAnsi"/>
              <w:sz w:val="24"/>
              <w:szCs w:val="24"/>
              <w:lang w:val="en-GB"/>
            </w:rPr>
          </w:pPr>
          <w:r w:rsidRPr="000D4A19">
            <w:rPr>
              <w:rFonts w:cstheme="minorHAnsi"/>
              <w:sz w:val="24"/>
              <w:szCs w:val="24"/>
              <w:lang w:val="en-GB"/>
            </w:rPr>
            <w:t>The President</w:t>
          </w:r>
          <w:r w:rsidR="009919AC" w:rsidRPr="000D4A19">
            <w:rPr>
              <w:rFonts w:cstheme="minorHAnsi"/>
              <w:sz w:val="24"/>
              <w:szCs w:val="24"/>
              <w:lang w:val="en-GB"/>
            </w:rPr>
            <w:t xml:space="preserve"> is commander-in-chief of the armed forces </w:t>
          </w:r>
          <w:r w:rsidR="00AB6295" w:rsidRPr="000D4A19">
            <w:rPr>
              <w:rFonts w:cstheme="minorHAnsi"/>
              <w:sz w:val="24"/>
              <w:szCs w:val="24"/>
              <w:lang w:val="en-GB"/>
            </w:rPr>
            <w:t>(Article 100, Constitution)</w:t>
          </w:r>
          <w:r w:rsidR="00696A31" w:rsidRPr="000D4A19">
            <w:rPr>
              <w:rFonts w:cstheme="minorHAnsi"/>
              <w:sz w:val="24"/>
              <w:szCs w:val="24"/>
              <w:lang w:val="en-GB"/>
            </w:rPr>
            <w:t xml:space="preserve">, </w:t>
          </w:r>
          <w:r w:rsidR="006D0D45" w:rsidRPr="000D4A19">
            <w:rPr>
              <w:rFonts w:cstheme="minorHAnsi"/>
              <w:sz w:val="24"/>
              <w:szCs w:val="24"/>
              <w:lang w:val="en-GB"/>
            </w:rPr>
            <w:t xml:space="preserve">with in practice most prerogatives </w:t>
          </w:r>
          <w:r w:rsidR="00976DC6" w:rsidRPr="000D4A19">
            <w:rPr>
              <w:rFonts w:cstheme="minorHAnsi"/>
              <w:sz w:val="24"/>
              <w:szCs w:val="24"/>
              <w:lang w:val="en-GB"/>
            </w:rPr>
            <w:t xml:space="preserve">and decisions pertaining to </w:t>
          </w:r>
          <w:r w:rsidR="006D0D45" w:rsidRPr="000D4A19">
            <w:rPr>
              <w:rFonts w:cstheme="minorHAnsi"/>
              <w:sz w:val="24"/>
              <w:szCs w:val="24"/>
              <w:lang w:val="en-GB"/>
            </w:rPr>
            <w:t xml:space="preserve">this function being carried out by </w:t>
          </w:r>
          <w:r w:rsidR="00976DC6" w:rsidRPr="000D4A19">
            <w:rPr>
              <w:rFonts w:cstheme="minorHAnsi"/>
              <w:sz w:val="24"/>
              <w:szCs w:val="24"/>
              <w:lang w:val="en-GB"/>
            </w:rPr>
            <w:t xml:space="preserve">or in co-ordination with </w:t>
          </w:r>
          <w:r w:rsidR="00696A31" w:rsidRPr="000D4A19">
            <w:rPr>
              <w:rFonts w:cstheme="minorHAnsi"/>
              <w:sz w:val="24"/>
              <w:szCs w:val="24"/>
              <w:lang w:val="en-GB"/>
            </w:rPr>
            <w:t xml:space="preserve">the Minister of Defence. The President is furthermore required to co-operate with the government </w:t>
          </w:r>
          <w:r w:rsidR="00AB6295" w:rsidRPr="000D4A19">
            <w:rPr>
              <w:rFonts w:cstheme="minorHAnsi"/>
              <w:sz w:val="24"/>
              <w:szCs w:val="24"/>
              <w:lang w:val="en-GB"/>
            </w:rPr>
            <w:t>“</w:t>
          </w:r>
          <w:r w:rsidR="00223A28" w:rsidRPr="000D4A19">
            <w:rPr>
              <w:rFonts w:cstheme="minorHAnsi"/>
              <w:sz w:val="24"/>
              <w:szCs w:val="24"/>
              <w:lang w:val="en-GB"/>
            </w:rPr>
            <w:t xml:space="preserve">in the formulation and implementation of </w:t>
          </w:r>
          <w:r w:rsidR="00BC55B0" w:rsidRPr="000D4A19">
            <w:rPr>
              <w:rFonts w:cstheme="minorHAnsi"/>
              <w:sz w:val="24"/>
              <w:szCs w:val="24"/>
              <w:lang w:val="en-GB"/>
            </w:rPr>
            <w:t>foreign polic</w:t>
          </w:r>
          <w:r w:rsidR="006D0D45" w:rsidRPr="000D4A19">
            <w:rPr>
              <w:rFonts w:cstheme="minorHAnsi"/>
              <w:sz w:val="24"/>
              <w:szCs w:val="24"/>
              <w:lang w:val="en-GB"/>
            </w:rPr>
            <w:t>y” and “in directing the work of security service</w:t>
          </w:r>
          <w:r w:rsidR="00260ECB" w:rsidRPr="000D4A19">
            <w:rPr>
              <w:rFonts w:cstheme="minorHAnsi"/>
              <w:sz w:val="24"/>
              <w:szCs w:val="24"/>
              <w:lang w:val="en-GB"/>
            </w:rPr>
            <w:t>s</w:t>
          </w:r>
          <w:r w:rsidR="00672631" w:rsidRPr="000D4A19">
            <w:rPr>
              <w:rFonts w:cstheme="minorHAnsi"/>
              <w:sz w:val="24"/>
              <w:szCs w:val="24"/>
              <w:lang w:val="en-GB"/>
            </w:rPr>
            <w:t>” (Article 99 and 103, Constitution).</w:t>
          </w:r>
          <w:r w:rsidR="003C1CF0" w:rsidRPr="000D4A19">
            <w:rPr>
              <w:rStyle w:val="Referencafusnote"/>
              <w:rFonts w:cstheme="minorHAnsi"/>
              <w:sz w:val="24"/>
              <w:szCs w:val="24"/>
              <w:lang w:val="en-GB"/>
            </w:rPr>
            <w:footnoteReference w:id="10"/>
          </w:r>
          <w:r w:rsidR="003C1CF0" w:rsidRPr="000D4A19">
            <w:rPr>
              <w:rFonts w:cstheme="minorHAnsi"/>
              <w:sz w:val="24"/>
              <w:szCs w:val="24"/>
              <w:lang w:val="en-GB"/>
            </w:rPr>
            <w:t xml:space="preserve"> In addition, s/he may propose to hold a session of the government to consider specific issues, as well as attend governmental sessions (Article 102, Constitution). </w:t>
          </w:r>
          <w:r w:rsidR="009919AC" w:rsidRPr="000D4A19">
            <w:rPr>
              <w:rFonts w:cstheme="minorHAnsi"/>
              <w:sz w:val="24"/>
              <w:szCs w:val="24"/>
              <w:lang w:val="en-GB"/>
            </w:rPr>
            <w:t>Various presidential powers are carried out on proposal of the government</w:t>
          </w:r>
          <w:r w:rsidR="0072660D" w:rsidRPr="000D4A19">
            <w:rPr>
              <w:rFonts w:cstheme="minorHAnsi"/>
              <w:sz w:val="24"/>
              <w:szCs w:val="24"/>
              <w:lang w:val="en-GB"/>
            </w:rPr>
            <w:t>:</w:t>
          </w:r>
          <w:r w:rsidR="009919AC" w:rsidRPr="000D4A19">
            <w:rPr>
              <w:rFonts w:cstheme="minorHAnsi"/>
              <w:sz w:val="24"/>
              <w:szCs w:val="24"/>
              <w:lang w:val="en-GB"/>
            </w:rPr>
            <w:t xml:space="preserve"> </w:t>
          </w:r>
          <w:r w:rsidR="0072660D" w:rsidRPr="000D4A19">
            <w:rPr>
              <w:rFonts w:cstheme="minorHAnsi"/>
              <w:sz w:val="24"/>
              <w:szCs w:val="24"/>
              <w:lang w:val="en-GB"/>
            </w:rPr>
            <w:t xml:space="preserve">these </w:t>
          </w:r>
          <w:r w:rsidR="009919AC" w:rsidRPr="000D4A19">
            <w:rPr>
              <w:rFonts w:cstheme="minorHAnsi"/>
              <w:sz w:val="24"/>
              <w:szCs w:val="24"/>
              <w:lang w:val="en-GB"/>
            </w:rPr>
            <w:t xml:space="preserve">need to be countersigned by the Prime Minister or need approval of the </w:t>
          </w:r>
          <w:r w:rsidRPr="000D4A19">
            <w:rPr>
              <w:rFonts w:cstheme="minorHAnsi"/>
              <w:sz w:val="24"/>
              <w:szCs w:val="24"/>
              <w:lang w:val="en-GB"/>
            </w:rPr>
            <w:t xml:space="preserve">Parliament </w:t>
          </w:r>
          <w:r w:rsidR="009919AC" w:rsidRPr="000D4A19">
            <w:rPr>
              <w:rFonts w:cstheme="minorHAnsi"/>
              <w:sz w:val="24"/>
              <w:szCs w:val="24"/>
              <w:lang w:val="en-GB"/>
            </w:rPr>
            <w:t>(e.g. the establishment of diplomatic missions, appointments of ambassadors</w:t>
          </w:r>
          <w:r w:rsidR="00986A73" w:rsidRPr="000D4A19">
            <w:rPr>
              <w:rFonts w:cstheme="minorHAnsi"/>
              <w:sz w:val="24"/>
              <w:szCs w:val="24"/>
              <w:lang w:val="en-GB"/>
            </w:rPr>
            <w:t xml:space="preserve"> and various other officials</w:t>
          </w:r>
          <w:r w:rsidR="00986A73" w:rsidRPr="000D4A19">
            <w:rPr>
              <w:rStyle w:val="Referencafusnote"/>
              <w:rFonts w:cstheme="minorHAnsi"/>
              <w:sz w:val="24"/>
              <w:szCs w:val="24"/>
              <w:lang w:val="en-GB"/>
            </w:rPr>
            <w:footnoteReference w:id="11"/>
          </w:r>
          <w:r w:rsidR="009919AC" w:rsidRPr="000D4A19">
            <w:rPr>
              <w:rFonts w:cstheme="minorHAnsi"/>
              <w:sz w:val="24"/>
              <w:szCs w:val="24"/>
              <w:lang w:val="en-GB"/>
            </w:rPr>
            <w:t>, declar</w:t>
          </w:r>
          <w:r w:rsidR="0072660D" w:rsidRPr="000D4A19">
            <w:rPr>
              <w:rFonts w:cstheme="minorHAnsi"/>
              <w:sz w:val="24"/>
              <w:szCs w:val="24"/>
              <w:lang w:val="en-GB"/>
            </w:rPr>
            <w:t>ation</w:t>
          </w:r>
          <w:r w:rsidR="009919AC" w:rsidRPr="000D4A19">
            <w:rPr>
              <w:rFonts w:cstheme="minorHAnsi"/>
              <w:sz w:val="24"/>
              <w:szCs w:val="24"/>
              <w:lang w:val="en-GB"/>
            </w:rPr>
            <w:t xml:space="preserve"> </w:t>
          </w:r>
          <w:r w:rsidR="0072660D" w:rsidRPr="000D4A19">
            <w:rPr>
              <w:rFonts w:cstheme="minorHAnsi"/>
              <w:sz w:val="24"/>
              <w:szCs w:val="24"/>
              <w:lang w:val="en-GB"/>
            </w:rPr>
            <w:t xml:space="preserve">of </w:t>
          </w:r>
          <w:r w:rsidR="009919AC" w:rsidRPr="000D4A19">
            <w:rPr>
              <w:rFonts w:cstheme="minorHAnsi"/>
              <w:sz w:val="24"/>
              <w:szCs w:val="24"/>
              <w:lang w:val="en-GB"/>
            </w:rPr>
            <w:t>a state of war, issu</w:t>
          </w:r>
          <w:r w:rsidR="0072660D" w:rsidRPr="000D4A19">
            <w:rPr>
              <w:rFonts w:cstheme="minorHAnsi"/>
              <w:sz w:val="24"/>
              <w:szCs w:val="24"/>
              <w:lang w:val="en-GB"/>
            </w:rPr>
            <w:t>ance</w:t>
          </w:r>
          <w:r w:rsidR="009919AC" w:rsidRPr="000D4A19">
            <w:rPr>
              <w:rFonts w:cstheme="minorHAnsi"/>
              <w:sz w:val="24"/>
              <w:szCs w:val="24"/>
              <w:lang w:val="en-GB"/>
            </w:rPr>
            <w:t xml:space="preserve"> </w:t>
          </w:r>
          <w:r w:rsidR="0072660D" w:rsidRPr="000D4A19">
            <w:rPr>
              <w:rFonts w:cstheme="minorHAnsi"/>
              <w:sz w:val="24"/>
              <w:szCs w:val="24"/>
              <w:lang w:val="en-GB"/>
            </w:rPr>
            <w:t xml:space="preserve">of </w:t>
          </w:r>
          <w:r w:rsidR="009919AC" w:rsidRPr="000D4A19">
            <w:rPr>
              <w:rFonts w:cstheme="minorHAnsi"/>
              <w:sz w:val="24"/>
              <w:szCs w:val="24"/>
              <w:lang w:val="en-GB"/>
            </w:rPr>
            <w:t xml:space="preserve">decrees with the force of law during a state of war, dissolution of the </w:t>
          </w:r>
          <w:r w:rsidRPr="000D4A19">
            <w:rPr>
              <w:rFonts w:cstheme="minorHAnsi"/>
              <w:sz w:val="24"/>
              <w:szCs w:val="24"/>
              <w:lang w:val="en-GB"/>
            </w:rPr>
            <w:t xml:space="preserve">Parliament </w:t>
          </w:r>
          <w:r w:rsidR="009919AC" w:rsidRPr="000D4A19">
            <w:rPr>
              <w:rFonts w:cstheme="minorHAnsi"/>
              <w:sz w:val="24"/>
              <w:szCs w:val="24"/>
              <w:lang w:val="en-GB"/>
            </w:rPr>
            <w:t xml:space="preserve">etc.). </w:t>
          </w:r>
        </w:p>
        <w:p w14:paraId="4EAF43C4" w14:textId="77777777" w:rsidR="008A1385" w:rsidRPr="000D4A19" w:rsidRDefault="008A1385" w:rsidP="00645C71">
          <w:pPr>
            <w:tabs>
              <w:tab w:val="left" w:pos="709"/>
              <w:tab w:val="num" w:pos="4679"/>
            </w:tabs>
            <w:spacing w:after="0" w:line="240" w:lineRule="auto"/>
            <w:jc w:val="both"/>
            <w:rPr>
              <w:rFonts w:cstheme="minorHAnsi"/>
              <w:sz w:val="24"/>
              <w:szCs w:val="24"/>
              <w:lang w:val="en-GB"/>
            </w:rPr>
          </w:pPr>
        </w:p>
        <w:p w14:paraId="0FDC781C" w14:textId="2B11074F" w:rsidR="008A1385" w:rsidRPr="000D4A19" w:rsidRDefault="009919AC" w:rsidP="008A1385">
          <w:pPr>
            <w:numPr>
              <w:ilvl w:val="0"/>
              <w:numId w:val="1"/>
            </w:numPr>
            <w:tabs>
              <w:tab w:val="num" w:pos="0"/>
              <w:tab w:val="left" w:pos="709"/>
              <w:tab w:val="num" w:pos="1557"/>
              <w:tab w:val="num" w:pos="4679"/>
            </w:tabs>
            <w:spacing w:after="0" w:line="240" w:lineRule="auto"/>
            <w:ind w:left="0" w:firstLine="0"/>
            <w:jc w:val="both"/>
            <w:rPr>
              <w:rFonts w:cstheme="minorHAnsi"/>
              <w:sz w:val="24"/>
              <w:szCs w:val="24"/>
              <w:lang w:val="en-GB"/>
            </w:rPr>
          </w:pPr>
          <w:r w:rsidRPr="000D4A19">
            <w:rPr>
              <w:rFonts w:cstheme="minorHAnsi"/>
              <w:sz w:val="24"/>
              <w:szCs w:val="24"/>
              <w:lang w:val="en-GB"/>
            </w:rPr>
            <w:t>As agreed by GRECO, a head of state would be covered in the Fifth Evaluation Round under “central governments (top executive functions)” when s/he actively participates on a regular basis in the development and/or the execution of governmental functions or advises the government on such functions. These may include determining and implementing policies, enforcing laws, proposing and/or implementing legislation, adopting and implementing by-laws/normative decrees, taking decision</w:t>
          </w:r>
          <w:r w:rsidR="0072660D" w:rsidRPr="000D4A19">
            <w:rPr>
              <w:rFonts w:cstheme="minorHAnsi"/>
              <w:sz w:val="24"/>
              <w:szCs w:val="24"/>
              <w:lang w:val="en-GB"/>
            </w:rPr>
            <w:t>s</w:t>
          </w:r>
          <w:r w:rsidRPr="000D4A19">
            <w:rPr>
              <w:rFonts w:cstheme="minorHAnsi"/>
              <w:sz w:val="24"/>
              <w:szCs w:val="24"/>
              <w:lang w:val="en-GB"/>
            </w:rPr>
            <w:t xml:space="preserve"> on government expenditure, taking decisions on the appointment of individuals to top executive functions. </w:t>
          </w:r>
        </w:p>
        <w:p w14:paraId="52CC5668" w14:textId="77777777" w:rsidR="008A1385" w:rsidRPr="000D4A19" w:rsidRDefault="008A1385" w:rsidP="00645C71">
          <w:pPr>
            <w:tabs>
              <w:tab w:val="left" w:pos="709"/>
              <w:tab w:val="num" w:pos="4679"/>
            </w:tabs>
            <w:spacing w:after="0" w:line="240" w:lineRule="auto"/>
            <w:ind w:left="3403"/>
            <w:jc w:val="both"/>
            <w:rPr>
              <w:rFonts w:cstheme="minorHAnsi"/>
              <w:sz w:val="24"/>
              <w:szCs w:val="24"/>
              <w:lang w:val="en-GB"/>
            </w:rPr>
          </w:pPr>
        </w:p>
        <w:p w14:paraId="30CDB55B" w14:textId="6EB5BB89" w:rsidR="005C426A" w:rsidRPr="000D4A19" w:rsidRDefault="004B4115" w:rsidP="00051311">
          <w:pPr>
            <w:numPr>
              <w:ilvl w:val="0"/>
              <w:numId w:val="1"/>
            </w:numPr>
            <w:tabs>
              <w:tab w:val="num" w:pos="720"/>
              <w:tab w:val="num" w:pos="1557"/>
              <w:tab w:val="num" w:pos="4679"/>
            </w:tabs>
            <w:spacing w:after="0" w:line="240" w:lineRule="auto"/>
            <w:ind w:left="0" w:firstLine="0"/>
            <w:jc w:val="both"/>
            <w:rPr>
              <w:rFonts w:cstheme="minorHAnsi"/>
              <w:sz w:val="24"/>
              <w:szCs w:val="24"/>
              <w:lang w:val="en-GB"/>
            </w:rPr>
          </w:pPr>
          <w:r w:rsidRPr="000D4A19">
            <w:rPr>
              <w:rFonts w:cstheme="minorHAnsi"/>
              <w:sz w:val="24"/>
              <w:szCs w:val="24"/>
              <w:lang w:val="en-GB"/>
            </w:rPr>
            <w:t>In discussing this issue on-site</w:t>
          </w:r>
          <w:r w:rsidR="008477FF" w:rsidRPr="000D4A19">
            <w:rPr>
              <w:rFonts w:cstheme="minorHAnsi"/>
              <w:sz w:val="24"/>
              <w:szCs w:val="24"/>
              <w:lang w:val="en-GB"/>
            </w:rPr>
            <w:t xml:space="preserve">, </w:t>
          </w:r>
          <w:r w:rsidR="00B450DE" w:rsidRPr="000D4A19">
            <w:rPr>
              <w:rFonts w:cstheme="minorHAnsi"/>
              <w:sz w:val="24"/>
              <w:szCs w:val="24"/>
              <w:lang w:val="en-GB"/>
            </w:rPr>
            <w:t xml:space="preserve">there seemed to be general </w:t>
          </w:r>
          <w:r w:rsidR="002759BE" w:rsidRPr="000D4A19">
            <w:rPr>
              <w:rFonts w:cstheme="minorHAnsi"/>
              <w:sz w:val="24"/>
              <w:szCs w:val="24"/>
              <w:lang w:val="en-GB"/>
            </w:rPr>
            <w:t xml:space="preserve">consensus </w:t>
          </w:r>
          <w:r w:rsidR="004401B8" w:rsidRPr="000D4A19">
            <w:rPr>
              <w:rFonts w:cstheme="minorHAnsi"/>
              <w:sz w:val="24"/>
              <w:szCs w:val="24"/>
              <w:lang w:val="en-GB"/>
            </w:rPr>
            <w:t>that the</w:t>
          </w:r>
          <w:r w:rsidR="001068AD" w:rsidRPr="000D4A19">
            <w:rPr>
              <w:rFonts w:cstheme="minorHAnsi"/>
              <w:sz w:val="24"/>
              <w:szCs w:val="24"/>
              <w:lang w:val="en-GB"/>
            </w:rPr>
            <w:t xml:space="preserve"> President did not participate o</w:t>
          </w:r>
          <w:r w:rsidR="004401B8" w:rsidRPr="000D4A19">
            <w:rPr>
              <w:rFonts w:cstheme="minorHAnsi"/>
              <w:sz w:val="24"/>
              <w:szCs w:val="24"/>
              <w:lang w:val="en-GB"/>
            </w:rPr>
            <w:t>n a regular basis in the development and/or execution of gove</w:t>
          </w:r>
          <w:r w:rsidR="00280919" w:rsidRPr="000D4A19">
            <w:rPr>
              <w:rFonts w:cstheme="minorHAnsi"/>
              <w:sz w:val="24"/>
              <w:szCs w:val="24"/>
              <w:lang w:val="en-GB"/>
            </w:rPr>
            <w:t>rnmental functions</w:t>
          </w:r>
          <w:r w:rsidR="005C426A" w:rsidRPr="000D4A19">
            <w:rPr>
              <w:rFonts w:cstheme="minorHAnsi"/>
              <w:sz w:val="24"/>
              <w:szCs w:val="24"/>
              <w:lang w:val="en-GB"/>
            </w:rPr>
            <w:t>. Even if s</w:t>
          </w:r>
          <w:r w:rsidR="009F5415" w:rsidRPr="000D4A19">
            <w:rPr>
              <w:rFonts w:cstheme="minorHAnsi"/>
              <w:sz w:val="24"/>
              <w:szCs w:val="24"/>
              <w:lang w:val="en-GB"/>
            </w:rPr>
            <w:t>/</w:t>
          </w:r>
          <w:r w:rsidR="005C426A" w:rsidRPr="000D4A19">
            <w:rPr>
              <w:rFonts w:cstheme="minorHAnsi"/>
              <w:sz w:val="24"/>
              <w:szCs w:val="24"/>
              <w:lang w:val="en-GB"/>
            </w:rPr>
            <w:t>he could propose to hold a session of the government and participate, the GET</w:t>
          </w:r>
          <w:r w:rsidR="00976DC6" w:rsidRPr="000D4A19">
            <w:rPr>
              <w:rFonts w:cstheme="minorHAnsi"/>
              <w:sz w:val="24"/>
              <w:szCs w:val="24"/>
              <w:lang w:val="en-GB"/>
            </w:rPr>
            <w:t xml:space="preserve"> was told that, since 2000, not a single government session had been held on the proposal of the President and in this time the President has only participated in nine government sessions in total.</w:t>
          </w:r>
          <w:r w:rsidR="00976DC6" w:rsidRPr="000D4A19">
            <w:rPr>
              <w:rStyle w:val="Referencafusnote"/>
              <w:rFonts w:cstheme="minorHAnsi"/>
              <w:sz w:val="24"/>
              <w:szCs w:val="24"/>
              <w:lang w:val="en-GB"/>
            </w:rPr>
            <w:footnoteReference w:id="12"/>
          </w:r>
          <w:r w:rsidR="00976DC6" w:rsidRPr="000D4A19">
            <w:rPr>
              <w:rFonts w:cstheme="minorHAnsi"/>
              <w:sz w:val="24"/>
              <w:szCs w:val="24"/>
              <w:lang w:val="en-GB"/>
            </w:rPr>
            <w:t xml:space="preserve"> </w:t>
          </w:r>
          <w:r w:rsidR="00697269">
            <w:rPr>
              <w:rFonts w:cstheme="minorHAnsi"/>
              <w:sz w:val="24"/>
              <w:szCs w:val="24"/>
              <w:lang w:val="en-GB"/>
            </w:rPr>
            <w:t>Furthermore, e</w:t>
          </w:r>
          <w:r w:rsidR="00280919" w:rsidRPr="000D4A19">
            <w:rPr>
              <w:rFonts w:cstheme="minorHAnsi"/>
              <w:sz w:val="24"/>
              <w:szCs w:val="24"/>
              <w:lang w:val="en-GB"/>
            </w:rPr>
            <w:t xml:space="preserve">ven in cases where </w:t>
          </w:r>
          <w:r w:rsidR="00095F89" w:rsidRPr="000D4A19">
            <w:rPr>
              <w:rFonts w:cstheme="minorHAnsi"/>
              <w:sz w:val="24"/>
              <w:szCs w:val="24"/>
              <w:lang w:val="en-GB"/>
            </w:rPr>
            <w:t>the Constitution gives</w:t>
          </w:r>
          <w:r w:rsidR="009F5415" w:rsidRPr="000D4A19">
            <w:rPr>
              <w:rFonts w:cstheme="minorHAnsi"/>
              <w:sz w:val="24"/>
              <w:szCs w:val="24"/>
              <w:lang w:val="en-GB"/>
            </w:rPr>
            <w:t xml:space="preserve"> the President </w:t>
          </w:r>
          <w:r w:rsidR="00964873" w:rsidRPr="000D4A19">
            <w:rPr>
              <w:rFonts w:cstheme="minorHAnsi"/>
              <w:sz w:val="24"/>
              <w:szCs w:val="24"/>
              <w:lang w:val="en-GB"/>
            </w:rPr>
            <w:t>a clear role, this is either framed as being carried out in co-operation with the government (as in the case of foreign policy and</w:t>
          </w:r>
          <w:r w:rsidR="00B42B38" w:rsidRPr="000D4A19">
            <w:rPr>
              <w:rFonts w:cstheme="minorHAnsi"/>
              <w:sz w:val="24"/>
              <w:szCs w:val="24"/>
              <w:lang w:val="en-GB"/>
            </w:rPr>
            <w:t xml:space="preserve"> the work of security services)</w:t>
          </w:r>
          <w:r w:rsidR="00964873" w:rsidRPr="000D4A19">
            <w:rPr>
              <w:rFonts w:cstheme="minorHAnsi"/>
              <w:sz w:val="24"/>
              <w:szCs w:val="24"/>
              <w:lang w:val="en-GB"/>
            </w:rPr>
            <w:t xml:space="preserve"> or being </w:t>
          </w:r>
          <w:r w:rsidR="00BE0787" w:rsidRPr="000D4A19">
            <w:rPr>
              <w:rFonts w:cstheme="minorHAnsi"/>
              <w:sz w:val="24"/>
              <w:szCs w:val="24"/>
              <w:lang w:val="en-GB"/>
            </w:rPr>
            <w:t xml:space="preserve">of a </w:t>
          </w:r>
          <w:r w:rsidR="001068AD" w:rsidRPr="000D4A19">
            <w:rPr>
              <w:rFonts w:cstheme="minorHAnsi"/>
              <w:sz w:val="24"/>
              <w:szCs w:val="24"/>
              <w:lang w:val="en-GB"/>
            </w:rPr>
            <w:t>formal</w:t>
          </w:r>
          <w:r w:rsidR="00964873" w:rsidRPr="000D4A19">
            <w:rPr>
              <w:rFonts w:cstheme="minorHAnsi"/>
              <w:sz w:val="24"/>
              <w:szCs w:val="24"/>
              <w:lang w:val="en-GB"/>
            </w:rPr>
            <w:t xml:space="preserve"> natur</w:t>
          </w:r>
          <w:r w:rsidR="00B42B38" w:rsidRPr="000D4A19">
            <w:rPr>
              <w:rFonts w:cstheme="minorHAnsi"/>
              <w:sz w:val="24"/>
              <w:szCs w:val="24"/>
              <w:lang w:val="en-GB"/>
            </w:rPr>
            <w:t>e (</w:t>
          </w:r>
          <w:r w:rsidR="00BE0787" w:rsidRPr="000D4A19">
            <w:rPr>
              <w:rFonts w:cstheme="minorHAnsi"/>
              <w:sz w:val="24"/>
              <w:szCs w:val="24"/>
              <w:lang w:val="en-GB"/>
            </w:rPr>
            <w:t xml:space="preserve">e.g. when it comes to </w:t>
          </w:r>
          <w:r w:rsidR="00B42B38" w:rsidRPr="000D4A19">
            <w:rPr>
              <w:rFonts w:cstheme="minorHAnsi"/>
              <w:sz w:val="24"/>
              <w:szCs w:val="24"/>
              <w:lang w:val="en-GB"/>
            </w:rPr>
            <w:t>selecting the Prime Minister-designate or appoint</w:t>
          </w:r>
          <w:r w:rsidR="00E86F12">
            <w:rPr>
              <w:rFonts w:cstheme="minorHAnsi"/>
              <w:sz w:val="24"/>
              <w:szCs w:val="24"/>
              <w:lang w:val="en-GB"/>
            </w:rPr>
            <w:t xml:space="preserve">ing </w:t>
          </w:r>
          <w:r w:rsidR="00976DC6" w:rsidRPr="000D4A19">
            <w:rPr>
              <w:rFonts w:cstheme="minorHAnsi"/>
              <w:sz w:val="24"/>
              <w:szCs w:val="24"/>
              <w:lang w:val="en-GB"/>
            </w:rPr>
            <w:t>various officials</w:t>
          </w:r>
          <w:r w:rsidR="00B42B38" w:rsidRPr="000D4A19">
            <w:rPr>
              <w:rFonts w:cstheme="minorHAnsi"/>
              <w:sz w:val="24"/>
              <w:szCs w:val="24"/>
              <w:lang w:val="en-GB"/>
            </w:rPr>
            <w:t>)</w:t>
          </w:r>
          <w:r w:rsidR="00964873" w:rsidRPr="000D4A19">
            <w:rPr>
              <w:rFonts w:cstheme="minorHAnsi"/>
              <w:sz w:val="24"/>
              <w:szCs w:val="24"/>
              <w:lang w:val="en-GB"/>
            </w:rPr>
            <w:t xml:space="preserve">. </w:t>
          </w:r>
          <w:r w:rsidR="009F5415" w:rsidRPr="000D4A19">
            <w:rPr>
              <w:rFonts w:cstheme="minorHAnsi"/>
              <w:sz w:val="24"/>
              <w:szCs w:val="24"/>
              <w:lang w:val="en-GB"/>
            </w:rPr>
            <w:t xml:space="preserve">While there is no denying that the President </w:t>
          </w:r>
          <w:r w:rsidR="00BE0787" w:rsidRPr="000D4A19">
            <w:rPr>
              <w:rFonts w:cstheme="minorHAnsi"/>
              <w:sz w:val="24"/>
              <w:szCs w:val="24"/>
              <w:lang w:val="en-GB"/>
            </w:rPr>
            <w:t xml:space="preserve">in Croatia </w:t>
          </w:r>
          <w:r w:rsidR="009F5415" w:rsidRPr="000D4A19">
            <w:rPr>
              <w:rFonts w:cstheme="minorHAnsi"/>
              <w:sz w:val="24"/>
              <w:szCs w:val="24"/>
              <w:lang w:val="en-GB"/>
            </w:rPr>
            <w:t>can wield considerable informal power,</w:t>
          </w:r>
          <w:r w:rsidR="00BE0787" w:rsidRPr="000D4A19">
            <w:rPr>
              <w:rFonts w:cstheme="minorHAnsi"/>
              <w:sz w:val="24"/>
              <w:szCs w:val="24"/>
              <w:lang w:val="en-GB"/>
            </w:rPr>
            <w:t xml:space="preserve"> the GET does not equate this to participating on a regular basis in the development and/or execution of governmental functions. It follows </w:t>
          </w:r>
          <w:r w:rsidR="00645C71" w:rsidRPr="000D4A19">
            <w:rPr>
              <w:rFonts w:cstheme="minorHAnsi"/>
              <w:sz w:val="24"/>
              <w:szCs w:val="24"/>
              <w:lang w:val="en-GB"/>
            </w:rPr>
            <w:t xml:space="preserve">from the foregoing </w:t>
          </w:r>
          <w:r w:rsidR="00BE0787" w:rsidRPr="000D4A19">
            <w:rPr>
              <w:rFonts w:cstheme="minorHAnsi"/>
              <w:sz w:val="24"/>
              <w:szCs w:val="24"/>
              <w:lang w:val="en-GB"/>
            </w:rPr>
            <w:t>that the functions of the President</w:t>
          </w:r>
          <w:r w:rsidR="00645C71" w:rsidRPr="000D4A19">
            <w:rPr>
              <w:rFonts w:cstheme="minorHAnsi"/>
              <w:sz w:val="24"/>
              <w:szCs w:val="24"/>
              <w:lang w:val="en-GB"/>
            </w:rPr>
            <w:t xml:space="preserve"> in Croatia</w:t>
          </w:r>
          <w:r w:rsidR="00BE0787" w:rsidRPr="000D4A19">
            <w:rPr>
              <w:rFonts w:cstheme="minorHAnsi"/>
              <w:sz w:val="24"/>
              <w:szCs w:val="24"/>
              <w:lang w:val="en-GB"/>
            </w:rPr>
            <w:t xml:space="preserve"> do not fall within the category of “persons entrusted with top executive functions” (PTEFs) as spelled out above.</w:t>
          </w:r>
          <w:r w:rsidR="00EA5F07" w:rsidRPr="000D4A19">
            <w:rPr>
              <w:rFonts w:cstheme="minorHAnsi"/>
              <w:sz w:val="24"/>
              <w:szCs w:val="24"/>
              <w:lang w:val="en-GB"/>
            </w:rPr>
            <w:t xml:space="preserve"> Nevertheless, </w:t>
          </w:r>
          <w:r w:rsidR="00563D17" w:rsidRPr="000D4A19">
            <w:rPr>
              <w:rFonts w:cstheme="minorHAnsi"/>
              <w:sz w:val="24"/>
              <w:szCs w:val="24"/>
              <w:lang w:val="en-GB"/>
            </w:rPr>
            <w:t xml:space="preserve">the GET welcomes </w:t>
          </w:r>
          <w:r w:rsidR="00D045B9" w:rsidRPr="000D4A19">
            <w:rPr>
              <w:rFonts w:cstheme="minorHAnsi"/>
              <w:sz w:val="24"/>
              <w:szCs w:val="24"/>
              <w:lang w:val="en-GB"/>
            </w:rPr>
            <w:t xml:space="preserve">the President </w:t>
          </w:r>
          <w:r w:rsidR="008D4727" w:rsidRPr="000D4A19">
            <w:rPr>
              <w:rFonts w:cstheme="minorHAnsi"/>
              <w:sz w:val="24"/>
              <w:szCs w:val="24"/>
              <w:lang w:val="en-GB"/>
            </w:rPr>
            <w:t>being</w:t>
          </w:r>
          <w:r w:rsidR="00D045B9" w:rsidRPr="000D4A19">
            <w:rPr>
              <w:rFonts w:cstheme="minorHAnsi"/>
              <w:sz w:val="24"/>
              <w:szCs w:val="24"/>
              <w:lang w:val="en-GB"/>
            </w:rPr>
            <w:t xml:space="preserve"> explicitly included within the remit of the</w:t>
          </w:r>
          <w:r w:rsidR="005C426A" w:rsidRPr="000D4A19">
            <w:rPr>
              <w:rFonts w:cstheme="minorHAnsi"/>
              <w:sz w:val="24"/>
              <w:szCs w:val="24"/>
              <w:lang w:val="en-GB"/>
            </w:rPr>
            <w:t xml:space="preserve"> Law on the Prevention of Conflicts of Interest </w:t>
          </w:r>
          <w:r w:rsidR="00947277" w:rsidRPr="000D4A19">
            <w:rPr>
              <w:rFonts w:cstheme="minorHAnsi"/>
              <w:sz w:val="24"/>
              <w:szCs w:val="24"/>
              <w:lang w:val="en-GB"/>
            </w:rPr>
            <w:t xml:space="preserve">(see </w:t>
          </w:r>
          <w:r w:rsidR="00947277" w:rsidRPr="007A42EA">
            <w:rPr>
              <w:rFonts w:cstheme="minorHAnsi"/>
              <w:sz w:val="24"/>
              <w:szCs w:val="24"/>
              <w:lang w:val="en-GB"/>
            </w:rPr>
            <w:t xml:space="preserve">paragraph </w:t>
          </w:r>
          <w:r w:rsidR="00EF06A0" w:rsidRPr="007A42EA">
            <w:rPr>
              <w:rFonts w:cstheme="minorHAnsi"/>
              <w:sz w:val="24"/>
              <w:szCs w:val="24"/>
              <w:lang w:val="en-GB"/>
            </w:rPr>
            <w:t>3</w:t>
          </w:r>
          <w:r w:rsidR="00CC0C3A" w:rsidRPr="007A42EA">
            <w:rPr>
              <w:rFonts w:cstheme="minorHAnsi"/>
              <w:sz w:val="24"/>
              <w:szCs w:val="24"/>
              <w:lang w:val="en-GB"/>
            </w:rPr>
            <w:t>7</w:t>
          </w:r>
          <w:r w:rsidR="00EF06A0" w:rsidRPr="007A42EA">
            <w:rPr>
              <w:rFonts w:cstheme="minorHAnsi"/>
              <w:sz w:val="24"/>
              <w:szCs w:val="24"/>
              <w:lang w:val="en-GB"/>
            </w:rPr>
            <w:t xml:space="preserve"> and</w:t>
          </w:r>
          <w:r w:rsidR="00947277" w:rsidRPr="000D4A19">
            <w:rPr>
              <w:rFonts w:cstheme="minorHAnsi"/>
              <w:sz w:val="24"/>
              <w:szCs w:val="24"/>
              <w:lang w:val="en-GB"/>
            </w:rPr>
            <w:t xml:space="preserve"> further below)</w:t>
          </w:r>
          <w:r w:rsidR="00EA5F07" w:rsidRPr="000D4A19">
            <w:rPr>
              <w:rFonts w:cstheme="minorHAnsi"/>
              <w:sz w:val="24"/>
              <w:szCs w:val="24"/>
              <w:lang w:val="en-GB"/>
            </w:rPr>
            <w:t>. The recommendations in this report pertaining to this law will thus have a bearing on the function</w:t>
          </w:r>
          <w:r w:rsidR="00645C71" w:rsidRPr="000D4A19">
            <w:rPr>
              <w:rFonts w:cstheme="minorHAnsi"/>
              <w:sz w:val="24"/>
              <w:szCs w:val="24"/>
              <w:lang w:val="en-GB"/>
            </w:rPr>
            <w:t>s</w:t>
          </w:r>
          <w:r w:rsidR="00EA5F07" w:rsidRPr="000D4A19">
            <w:rPr>
              <w:rFonts w:cstheme="minorHAnsi"/>
              <w:sz w:val="24"/>
              <w:szCs w:val="24"/>
              <w:lang w:val="en-GB"/>
            </w:rPr>
            <w:t xml:space="preserve"> of the President as well</w:t>
          </w:r>
          <w:r w:rsidR="00F25C7A" w:rsidRPr="000D4A19">
            <w:rPr>
              <w:rFonts w:cstheme="minorHAnsi"/>
              <w:sz w:val="24"/>
              <w:szCs w:val="24"/>
              <w:lang w:val="en-GB"/>
            </w:rPr>
            <w:t>,</w:t>
          </w:r>
          <w:r w:rsidR="00EA5F07" w:rsidRPr="000D4A19">
            <w:rPr>
              <w:rFonts w:cstheme="minorHAnsi"/>
              <w:sz w:val="24"/>
              <w:szCs w:val="24"/>
              <w:lang w:val="en-GB"/>
            </w:rPr>
            <w:t xml:space="preserve"> </w:t>
          </w:r>
          <w:r w:rsidR="00AD2D7B" w:rsidRPr="000D4A19">
            <w:rPr>
              <w:rFonts w:cstheme="minorHAnsi"/>
              <w:sz w:val="24"/>
              <w:szCs w:val="24"/>
              <w:lang w:val="en-GB"/>
            </w:rPr>
            <w:t>where applicable</w:t>
          </w:r>
          <w:r w:rsidR="005C426A" w:rsidRPr="000D4A19">
            <w:rPr>
              <w:rFonts w:cstheme="minorHAnsi"/>
              <w:sz w:val="24"/>
              <w:szCs w:val="24"/>
              <w:lang w:val="en-GB"/>
            </w:rPr>
            <w:t xml:space="preserve">. </w:t>
          </w:r>
        </w:p>
        <w:p w14:paraId="4E99389F" w14:textId="77777777" w:rsidR="00120F03" w:rsidRPr="000D4A19" w:rsidRDefault="00120F03" w:rsidP="00051311">
          <w:pPr>
            <w:tabs>
              <w:tab w:val="num" w:pos="4679"/>
            </w:tabs>
            <w:spacing w:after="0" w:line="240" w:lineRule="auto"/>
            <w:jc w:val="both"/>
            <w:rPr>
              <w:rFonts w:cstheme="minorHAnsi"/>
              <w:sz w:val="24"/>
              <w:szCs w:val="24"/>
              <w:lang w:val="en-GB"/>
            </w:rPr>
          </w:pPr>
        </w:p>
        <w:p w14:paraId="2E5021D9" w14:textId="77777777" w:rsidR="009919AC" w:rsidRPr="000D4A19" w:rsidRDefault="009919AC" w:rsidP="00051311">
          <w:pPr>
            <w:pStyle w:val="Naslov3"/>
            <w:spacing w:before="0" w:line="240" w:lineRule="auto"/>
            <w:rPr>
              <w:rFonts w:asciiTheme="minorHAnsi" w:hAnsiTheme="minorHAnsi" w:cstheme="minorHAnsi"/>
              <w:b w:val="0"/>
              <w:i/>
              <w:color w:val="auto"/>
              <w:sz w:val="24"/>
              <w:szCs w:val="24"/>
              <w:lang w:val="en-GB"/>
            </w:rPr>
          </w:pPr>
          <w:bookmarkStart w:id="25" w:name="_Toc25229288"/>
          <w:r w:rsidRPr="000D4A19">
            <w:rPr>
              <w:rFonts w:asciiTheme="minorHAnsi" w:hAnsiTheme="minorHAnsi" w:cstheme="minorHAnsi"/>
              <w:b w:val="0"/>
              <w:i/>
              <w:color w:val="auto"/>
              <w:sz w:val="24"/>
              <w:szCs w:val="24"/>
              <w:lang w:val="en-GB"/>
            </w:rPr>
            <w:t>The government</w:t>
          </w:r>
          <w:bookmarkEnd w:id="25"/>
        </w:p>
        <w:p w14:paraId="532F5514" w14:textId="77777777" w:rsidR="009919AC" w:rsidRPr="000D4A19" w:rsidRDefault="009919AC" w:rsidP="00051311">
          <w:pPr>
            <w:spacing w:after="0" w:line="240" w:lineRule="auto"/>
            <w:jc w:val="both"/>
            <w:rPr>
              <w:rFonts w:cstheme="minorHAnsi"/>
              <w:i/>
              <w:color w:val="FF0000"/>
              <w:sz w:val="24"/>
              <w:szCs w:val="24"/>
              <w:lang w:val="en-GB"/>
            </w:rPr>
          </w:pPr>
        </w:p>
        <w:p w14:paraId="66F4AABA" w14:textId="474347E7" w:rsidR="00201792" w:rsidRPr="000D4A19" w:rsidRDefault="009919AC" w:rsidP="00051311">
          <w:pPr>
            <w:numPr>
              <w:ilvl w:val="0"/>
              <w:numId w:val="1"/>
            </w:numPr>
            <w:tabs>
              <w:tab w:val="left" w:pos="709"/>
              <w:tab w:val="num" w:pos="1557"/>
              <w:tab w:val="num" w:pos="4679"/>
            </w:tabs>
            <w:spacing w:after="0" w:line="240" w:lineRule="auto"/>
            <w:ind w:left="0" w:firstLine="0"/>
            <w:jc w:val="both"/>
            <w:rPr>
              <w:rFonts w:cstheme="minorHAnsi"/>
              <w:color w:val="FF0000"/>
              <w:sz w:val="24"/>
              <w:szCs w:val="24"/>
              <w:lang w:val="en-GB"/>
            </w:rPr>
          </w:pPr>
          <w:r w:rsidRPr="000D4A19">
            <w:rPr>
              <w:rFonts w:cstheme="minorHAnsi"/>
              <w:sz w:val="24"/>
              <w:szCs w:val="24"/>
              <w:lang w:val="en-GB"/>
            </w:rPr>
            <w:t>The government is the main executive power of Croatia.</w:t>
          </w:r>
          <w:r w:rsidRPr="000D4A19">
            <w:rPr>
              <w:rStyle w:val="Referencafusnote"/>
              <w:rFonts w:cstheme="minorHAnsi"/>
              <w:sz w:val="24"/>
              <w:szCs w:val="24"/>
              <w:lang w:val="en-GB"/>
            </w:rPr>
            <w:footnoteReference w:id="13"/>
          </w:r>
          <w:r w:rsidRPr="000D4A19">
            <w:rPr>
              <w:rFonts w:cstheme="minorHAnsi"/>
              <w:sz w:val="24"/>
              <w:szCs w:val="24"/>
              <w:lang w:val="en-GB"/>
            </w:rPr>
            <w:t xml:space="preserve"> Its organisation, operation and decision-making processes are regulated by Law on the Government. The government is headed by a </w:t>
          </w:r>
          <w:r w:rsidRPr="000D4A19">
            <w:rPr>
              <w:rFonts w:cstheme="minorHAnsi"/>
              <w:sz w:val="24"/>
              <w:szCs w:val="24"/>
              <w:u w:val="single"/>
              <w:lang w:val="en-GB"/>
            </w:rPr>
            <w:t>Prime Minister</w:t>
          </w:r>
          <w:r w:rsidRPr="000D4A19">
            <w:rPr>
              <w:rStyle w:val="Referencafusnote"/>
              <w:rFonts w:cstheme="minorHAnsi"/>
              <w:sz w:val="24"/>
              <w:szCs w:val="24"/>
              <w:lang w:val="en-GB"/>
            </w:rPr>
            <w:footnoteReference w:id="14"/>
          </w:r>
          <w:r w:rsidRPr="000D4A19">
            <w:rPr>
              <w:rFonts w:cstheme="minorHAnsi"/>
              <w:sz w:val="24"/>
              <w:szCs w:val="24"/>
              <w:lang w:val="en-GB"/>
            </w:rPr>
            <w:t xml:space="preserve"> and additionally comprises one or more </w:t>
          </w:r>
          <w:r w:rsidRPr="000D4A19">
            <w:rPr>
              <w:rFonts w:cstheme="minorHAnsi"/>
              <w:sz w:val="24"/>
              <w:szCs w:val="24"/>
              <w:u w:val="single"/>
              <w:lang w:val="en-GB"/>
            </w:rPr>
            <w:t>Deputy Prime Ministers</w:t>
          </w:r>
          <w:r w:rsidRPr="000D4A19">
            <w:rPr>
              <w:rFonts w:cstheme="minorHAnsi"/>
              <w:sz w:val="24"/>
              <w:szCs w:val="24"/>
              <w:lang w:val="en-GB"/>
            </w:rPr>
            <w:t xml:space="preserve"> and </w:t>
          </w:r>
          <w:r w:rsidRPr="000D4A19">
            <w:rPr>
              <w:rFonts w:cstheme="minorHAnsi"/>
              <w:sz w:val="24"/>
              <w:szCs w:val="24"/>
              <w:u w:val="single"/>
              <w:lang w:val="en-GB"/>
            </w:rPr>
            <w:t>Ministers</w:t>
          </w:r>
          <w:r w:rsidRPr="000D4A19">
            <w:rPr>
              <w:rFonts w:cstheme="minorHAnsi"/>
              <w:sz w:val="24"/>
              <w:szCs w:val="24"/>
              <w:lang w:val="en-GB"/>
            </w:rPr>
            <w:t xml:space="preserve">. The person to whom the President has entrusted the mandate to form the government proposes the other members of the government. Within 30 days of accepting this mandate, the Prime Minister-Designate is to present his/her government and its policies to the </w:t>
          </w:r>
          <w:r w:rsidR="00A318AC" w:rsidRPr="000D4A19">
            <w:rPr>
              <w:rFonts w:cstheme="minorHAnsi"/>
              <w:sz w:val="24"/>
              <w:szCs w:val="24"/>
              <w:lang w:val="en-GB"/>
            </w:rPr>
            <w:t>Parliament</w:t>
          </w:r>
          <w:r w:rsidRPr="000D4A19">
            <w:rPr>
              <w:rFonts w:cstheme="minorHAnsi"/>
              <w:i/>
              <w:sz w:val="24"/>
              <w:szCs w:val="24"/>
              <w:lang w:val="en-GB"/>
            </w:rPr>
            <w:t xml:space="preserve"> </w:t>
          </w:r>
          <w:r w:rsidRPr="000D4A19">
            <w:rPr>
              <w:rFonts w:cstheme="minorHAnsi"/>
              <w:sz w:val="24"/>
              <w:szCs w:val="24"/>
              <w:lang w:val="en-GB"/>
            </w:rPr>
            <w:t xml:space="preserve">for a vote of confidence (by a majority of all MPs). Based on the vote of confidence in the government, the President is to adopt a decision on the appointment of the Prime Minister with the counter-signature of the President of the </w:t>
          </w:r>
          <w:r w:rsidR="00A318AC" w:rsidRPr="000D4A19">
            <w:rPr>
              <w:rFonts w:cstheme="minorHAnsi"/>
              <w:sz w:val="24"/>
              <w:szCs w:val="24"/>
              <w:lang w:val="en-GB"/>
            </w:rPr>
            <w:t>Parliament</w:t>
          </w:r>
          <w:r w:rsidRPr="000D4A19">
            <w:rPr>
              <w:rFonts w:cstheme="minorHAnsi"/>
              <w:sz w:val="24"/>
              <w:szCs w:val="24"/>
              <w:lang w:val="en-GB"/>
            </w:rPr>
            <w:t xml:space="preserve">, following which the Prime Minister takes a decision on the appointment of members of the government with the counter-signature of the President of the </w:t>
          </w:r>
          <w:r w:rsidR="00A318AC" w:rsidRPr="000D4A19">
            <w:rPr>
              <w:rFonts w:cstheme="minorHAnsi"/>
              <w:sz w:val="24"/>
              <w:szCs w:val="24"/>
              <w:lang w:val="en-GB"/>
            </w:rPr>
            <w:t>Parliament</w:t>
          </w:r>
          <w:r w:rsidR="00A318AC" w:rsidRPr="000D4A19">
            <w:rPr>
              <w:rFonts w:cstheme="minorHAnsi"/>
              <w:i/>
              <w:sz w:val="24"/>
              <w:szCs w:val="24"/>
              <w:lang w:val="en-GB"/>
            </w:rPr>
            <w:t xml:space="preserve"> </w:t>
          </w:r>
          <w:r w:rsidRPr="000D4A19">
            <w:rPr>
              <w:rFonts w:cstheme="minorHAnsi"/>
              <w:sz w:val="24"/>
              <w:szCs w:val="24"/>
              <w:lang w:val="en-GB"/>
            </w:rPr>
            <w:t>(Article 4 of the Law on the Government)</w:t>
          </w:r>
          <w:r w:rsidRPr="000D4A19">
            <w:rPr>
              <w:rFonts w:cstheme="minorHAnsi"/>
              <w:i/>
              <w:sz w:val="24"/>
              <w:szCs w:val="24"/>
              <w:lang w:val="en-GB"/>
            </w:rPr>
            <w:t>.</w:t>
          </w:r>
          <w:r w:rsidR="001B457A" w:rsidRPr="000D4A19">
            <w:rPr>
              <w:rFonts w:cstheme="minorHAnsi"/>
              <w:i/>
              <w:sz w:val="24"/>
              <w:szCs w:val="24"/>
              <w:lang w:val="en-GB"/>
            </w:rPr>
            <w:t xml:space="preserve"> </w:t>
          </w:r>
        </w:p>
        <w:p w14:paraId="55299816" w14:textId="77777777" w:rsidR="00201792" w:rsidRPr="000D4A19" w:rsidRDefault="00201792" w:rsidP="00201792">
          <w:pPr>
            <w:tabs>
              <w:tab w:val="left" w:pos="709"/>
              <w:tab w:val="num" w:pos="1557"/>
              <w:tab w:val="num" w:pos="4679"/>
            </w:tabs>
            <w:spacing w:after="0" w:line="240" w:lineRule="auto"/>
            <w:jc w:val="both"/>
            <w:rPr>
              <w:rFonts w:cstheme="minorHAnsi"/>
              <w:color w:val="FF0000"/>
              <w:sz w:val="24"/>
              <w:szCs w:val="24"/>
              <w:lang w:val="en-GB"/>
            </w:rPr>
          </w:pPr>
        </w:p>
        <w:p w14:paraId="61EA1CD2" w14:textId="1EDFC42B" w:rsidR="008B5D7A" w:rsidRPr="000D4A19" w:rsidRDefault="001B457A" w:rsidP="008E0168">
          <w:pPr>
            <w:numPr>
              <w:ilvl w:val="0"/>
              <w:numId w:val="1"/>
            </w:numPr>
            <w:tabs>
              <w:tab w:val="left" w:pos="709"/>
              <w:tab w:val="num" w:pos="1557"/>
              <w:tab w:val="num" w:pos="4679"/>
            </w:tabs>
            <w:spacing w:after="0" w:line="240" w:lineRule="auto"/>
            <w:ind w:left="0" w:firstLine="0"/>
            <w:jc w:val="both"/>
            <w:rPr>
              <w:rFonts w:cstheme="minorHAnsi"/>
              <w:color w:val="FF0000"/>
              <w:sz w:val="24"/>
              <w:szCs w:val="24"/>
              <w:lang w:val="en-GB"/>
            </w:rPr>
          </w:pPr>
          <w:r w:rsidRPr="000D4A19">
            <w:rPr>
              <w:rFonts w:cstheme="minorHAnsi"/>
              <w:sz w:val="24"/>
              <w:szCs w:val="24"/>
              <w:lang w:val="en-GB"/>
            </w:rPr>
            <w:t>The GET was told that the background of candidate ministers is checked by the security services</w:t>
          </w:r>
          <w:r w:rsidR="00785DA2" w:rsidRPr="000D4A19">
            <w:rPr>
              <w:rFonts w:cstheme="minorHAnsi"/>
              <w:sz w:val="24"/>
              <w:szCs w:val="24"/>
              <w:lang w:val="en-GB"/>
            </w:rPr>
            <w:t xml:space="preserve"> (on the basis of the Act on Security Checks)</w:t>
          </w:r>
          <w:r w:rsidRPr="000D4A19">
            <w:rPr>
              <w:rFonts w:cstheme="minorHAnsi"/>
              <w:sz w:val="24"/>
              <w:szCs w:val="24"/>
              <w:lang w:val="en-GB"/>
            </w:rPr>
            <w:t>,</w:t>
          </w:r>
          <w:r w:rsidR="008B5D7A" w:rsidRPr="000D4A19">
            <w:rPr>
              <w:rFonts w:cstheme="minorHAnsi"/>
              <w:sz w:val="24"/>
              <w:szCs w:val="24"/>
              <w:lang w:val="en-GB"/>
            </w:rPr>
            <w:t xml:space="preserve"> to provide clearance to access classified information. </w:t>
          </w:r>
          <w:r w:rsidR="0055403E" w:rsidRPr="000D4A19">
            <w:rPr>
              <w:rFonts w:cstheme="minorHAnsi"/>
              <w:sz w:val="24"/>
              <w:szCs w:val="24"/>
              <w:lang w:val="en-GB"/>
            </w:rPr>
            <w:t xml:space="preserve">Information from these security checks is shared with the Prime Minister, </w:t>
          </w:r>
          <w:r w:rsidR="008E0168" w:rsidRPr="000D4A19">
            <w:rPr>
              <w:rFonts w:cstheme="minorHAnsi"/>
              <w:sz w:val="24"/>
              <w:szCs w:val="24"/>
              <w:lang w:val="en-GB"/>
            </w:rPr>
            <w:t xml:space="preserve">who is then to decide whether s/he wants to maintain the candidature of the minister in question. </w:t>
          </w:r>
          <w:r w:rsidR="008B5D7A" w:rsidRPr="000D4A19">
            <w:rPr>
              <w:rFonts w:cstheme="minorHAnsi"/>
              <w:sz w:val="24"/>
              <w:szCs w:val="24"/>
              <w:lang w:val="en-GB"/>
            </w:rPr>
            <w:t>Questions were raised about the level of scrutiny of these checks in 2016, when Croatia’s minister for war veterans resigned after only six days in office, following media reports that he had registered himself at a non-existent address in an area with low taxes.</w:t>
          </w:r>
          <w:r w:rsidR="008B5D7A" w:rsidRPr="000D4A19">
            <w:rPr>
              <w:rStyle w:val="Referencafusnote"/>
              <w:rFonts w:cstheme="minorHAnsi"/>
              <w:sz w:val="24"/>
              <w:szCs w:val="24"/>
              <w:lang w:val="en-GB"/>
            </w:rPr>
            <w:footnoteReference w:id="15"/>
          </w:r>
          <w:r w:rsidR="00201792" w:rsidRPr="000D4A19">
            <w:rPr>
              <w:rFonts w:cstheme="minorHAnsi"/>
              <w:sz w:val="24"/>
              <w:szCs w:val="24"/>
              <w:lang w:val="en-GB"/>
            </w:rPr>
            <w:t xml:space="preserve">  </w:t>
          </w:r>
        </w:p>
        <w:p w14:paraId="03123285" w14:textId="77777777" w:rsidR="00201792" w:rsidRPr="000D4A19" w:rsidRDefault="00201792" w:rsidP="00201792">
          <w:pPr>
            <w:tabs>
              <w:tab w:val="left" w:pos="709"/>
              <w:tab w:val="num" w:pos="1557"/>
              <w:tab w:val="num" w:pos="4679"/>
            </w:tabs>
            <w:spacing w:after="0" w:line="240" w:lineRule="auto"/>
            <w:jc w:val="both"/>
            <w:rPr>
              <w:rFonts w:cstheme="minorHAnsi"/>
              <w:color w:val="FF0000"/>
              <w:sz w:val="24"/>
              <w:szCs w:val="24"/>
              <w:lang w:val="en-GB"/>
            </w:rPr>
          </w:pPr>
        </w:p>
        <w:p w14:paraId="7240D41D" w14:textId="10219887" w:rsidR="009919AC" w:rsidRPr="000D4A19" w:rsidRDefault="009919AC" w:rsidP="004B7CAB">
          <w:pPr>
            <w:numPr>
              <w:ilvl w:val="0"/>
              <w:numId w:val="1"/>
            </w:numPr>
            <w:tabs>
              <w:tab w:val="left" w:pos="709"/>
              <w:tab w:val="num" w:pos="1557"/>
              <w:tab w:val="num" w:pos="4679"/>
            </w:tabs>
            <w:spacing w:after="0" w:line="240" w:lineRule="auto"/>
            <w:ind w:left="0" w:firstLine="0"/>
            <w:jc w:val="both"/>
            <w:rPr>
              <w:rFonts w:cstheme="minorHAnsi"/>
              <w:sz w:val="24"/>
              <w:szCs w:val="24"/>
              <w:lang w:val="en-GB"/>
            </w:rPr>
          </w:pPr>
          <w:r w:rsidRPr="000D4A19">
            <w:rPr>
              <w:rFonts w:cstheme="minorHAnsi"/>
              <w:sz w:val="24"/>
              <w:szCs w:val="24"/>
              <w:lang w:val="en-GB"/>
            </w:rPr>
            <w:t>Decision-making by the government is collegial: it decides by a majority vote of all members of the government. In case the votes are split, the Prime Minister has the deciding vote. The Prime Minister and members of the government are accountable to the</w:t>
          </w:r>
          <w:r w:rsidR="00DD3BF1" w:rsidRPr="000D4A19">
            <w:rPr>
              <w:rFonts w:cstheme="minorHAnsi"/>
              <w:sz w:val="24"/>
              <w:szCs w:val="24"/>
              <w:lang w:val="en-GB"/>
            </w:rPr>
            <w:t xml:space="preserve"> Parliament</w:t>
          </w:r>
          <w:r w:rsidRPr="000D4A19">
            <w:rPr>
              <w:rFonts w:cstheme="minorHAnsi"/>
              <w:sz w:val="24"/>
              <w:szCs w:val="24"/>
              <w:lang w:val="en-GB"/>
            </w:rPr>
            <w:t>, both jointly for decisions made by the government and personally for decisions within their respective purviews</w:t>
          </w:r>
          <w:r w:rsidRPr="000D4A19">
            <w:rPr>
              <w:rFonts w:cstheme="minorHAnsi"/>
              <w:i/>
              <w:sz w:val="24"/>
              <w:szCs w:val="24"/>
              <w:lang w:val="en-GB"/>
            </w:rPr>
            <w:t>.</w:t>
          </w:r>
          <w:r w:rsidRPr="000D4A19">
            <w:rPr>
              <w:rStyle w:val="Referencafusnote"/>
              <w:rFonts w:cstheme="minorHAnsi"/>
              <w:sz w:val="24"/>
              <w:szCs w:val="24"/>
              <w:lang w:val="en-GB"/>
            </w:rPr>
            <w:footnoteReference w:id="16"/>
          </w:r>
          <w:r w:rsidRPr="000D4A19">
            <w:rPr>
              <w:rFonts w:cstheme="minorHAnsi"/>
              <w:sz w:val="24"/>
              <w:szCs w:val="24"/>
              <w:lang w:val="en-GB"/>
            </w:rPr>
            <w:t xml:space="preserve"> If a vote of no confidence in the Prime Minister is adopted (by a majority of members of the </w:t>
          </w:r>
          <w:r w:rsidR="00DD3BF1" w:rsidRPr="000D4A19">
            <w:rPr>
              <w:rFonts w:cstheme="minorHAnsi"/>
              <w:sz w:val="24"/>
              <w:szCs w:val="24"/>
              <w:lang w:val="en-GB"/>
            </w:rPr>
            <w:t>Parliament</w:t>
          </w:r>
          <w:r w:rsidRPr="000D4A19">
            <w:rPr>
              <w:rFonts w:cstheme="minorHAnsi"/>
              <w:sz w:val="24"/>
              <w:szCs w:val="24"/>
              <w:lang w:val="en-GB"/>
            </w:rPr>
            <w:t>) or if the Prime Minister otherwise resigns, the whole government is deemed to have resigned. If the</w:t>
          </w:r>
          <w:r w:rsidR="00DD3BF1" w:rsidRPr="000D4A19">
            <w:rPr>
              <w:rFonts w:cstheme="minorHAnsi"/>
              <w:i/>
              <w:sz w:val="24"/>
              <w:szCs w:val="24"/>
              <w:lang w:val="en-GB"/>
            </w:rPr>
            <w:t xml:space="preserve"> </w:t>
          </w:r>
          <w:r w:rsidR="00DD3BF1" w:rsidRPr="000D4A19">
            <w:rPr>
              <w:rFonts w:cstheme="minorHAnsi"/>
              <w:sz w:val="24"/>
              <w:szCs w:val="24"/>
              <w:lang w:val="en-GB"/>
            </w:rPr>
            <w:t>Parliament</w:t>
          </w:r>
          <w:r w:rsidRPr="000D4A19">
            <w:rPr>
              <w:rFonts w:cstheme="minorHAnsi"/>
              <w:i/>
              <w:sz w:val="24"/>
              <w:szCs w:val="24"/>
              <w:lang w:val="en-GB"/>
            </w:rPr>
            <w:t xml:space="preserve"> </w:t>
          </w:r>
          <w:r w:rsidRPr="000D4A19">
            <w:rPr>
              <w:rFonts w:cstheme="minorHAnsi"/>
              <w:sz w:val="24"/>
              <w:szCs w:val="24"/>
              <w:lang w:val="en-GB"/>
            </w:rPr>
            <w:t>adopts a vote of no confidence in a minister, the Prime Minister may replace him/her and seek a new vote of confidence</w:t>
          </w:r>
          <w:r w:rsidRPr="000D4A19">
            <w:rPr>
              <w:rFonts w:cstheme="minorHAnsi"/>
              <w:i/>
              <w:sz w:val="24"/>
              <w:szCs w:val="24"/>
              <w:lang w:val="en-GB"/>
            </w:rPr>
            <w:t>.</w:t>
          </w:r>
        </w:p>
        <w:p w14:paraId="3C1651A6" w14:textId="77777777" w:rsidR="009919AC" w:rsidRPr="000D4A19" w:rsidRDefault="009919AC" w:rsidP="004B7CAB">
          <w:pPr>
            <w:tabs>
              <w:tab w:val="left" w:pos="709"/>
              <w:tab w:val="num" w:pos="4679"/>
            </w:tabs>
            <w:spacing w:after="0" w:line="240" w:lineRule="auto"/>
            <w:jc w:val="both"/>
            <w:rPr>
              <w:rFonts w:cstheme="minorHAnsi"/>
              <w:sz w:val="24"/>
              <w:szCs w:val="24"/>
              <w:lang w:val="en-GB"/>
            </w:rPr>
          </w:pPr>
        </w:p>
        <w:p w14:paraId="3F47238C" w14:textId="50B9A6E2" w:rsidR="009919AC" w:rsidRPr="000D4A19" w:rsidRDefault="009919AC" w:rsidP="00051311">
          <w:pPr>
            <w:numPr>
              <w:ilvl w:val="0"/>
              <w:numId w:val="1"/>
            </w:numPr>
            <w:tabs>
              <w:tab w:val="left" w:pos="709"/>
              <w:tab w:val="num" w:pos="1557"/>
              <w:tab w:val="num" w:pos="4679"/>
            </w:tabs>
            <w:spacing w:after="0" w:line="240" w:lineRule="auto"/>
            <w:ind w:left="0" w:firstLine="0"/>
            <w:jc w:val="both"/>
            <w:rPr>
              <w:rFonts w:cstheme="minorHAnsi"/>
              <w:color w:val="FF0000"/>
              <w:sz w:val="24"/>
              <w:szCs w:val="24"/>
              <w:lang w:val="en-GB"/>
            </w:rPr>
          </w:pPr>
          <w:r w:rsidRPr="000D4A19">
            <w:rPr>
              <w:rFonts w:cstheme="minorHAnsi"/>
              <w:sz w:val="24"/>
              <w:szCs w:val="24"/>
              <w:lang w:val="en-GB"/>
            </w:rPr>
            <w:t xml:space="preserve">The government </w:t>
          </w:r>
          <w:r w:rsidR="008E0168" w:rsidRPr="000D4A19">
            <w:rPr>
              <w:rFonts w:cstheme="minorHAnsi"/>
              <w:sz w:val="24"/>
              <w:szCs w:val="24"/>
              <w:lang w:val="en-GB"/>
            </w:rPr>
            <w:t xml:space="preserve">took office </w:t>
          </w:r>
          <w:r w:rsidR="00F501CF" w:rsidRPr="000D4A19">
            <w:rPr>
              <w:rFonts w:cstheme="minorHAnsi"/>
              <w:sz w:val="24"/>
              <w:szCs w:val="24"/>
              <w:lang w:val="en-GB"/>
            </w:rPr>
            <w:t>on 19 October 2016, but has changed composition several times since then (the last time on 22 July 2019).</w:t>
          </w:r>
          <w:r w:rsidR="00F501CF" w:rsidRPr="000D4A19">
            <w:rPr>
              <w:rStyle w:val="Referencafusnote"/>
              <w:sz w:val="24"/>
              <w:szCs w:val="24"/>
              <w:lang w:val="en-GB"/>
            </w:rPr>
            <w:footnoteReference w:id="17"/>
          </w:r>
          <w:r w:rsidR="00F501CF" w:rsidRPr="000D4A19">
            <w:rPr>
              <w:rFonts w:cstheme="minorHAnsi"/>
              <w:sz w:val="24"/>
              <w:szCs w:val="24"/>
              <w:lang w:val="en-GB"/>
            </w:rPr>
            <w:t xml:space="preserve">  It is </w:t>
          </w:r>
          <w:r w:rsidRPr="000D4A19">
            <w:rPr>
              <w:rFonts w:cstheme="minorHAnsi"/>
              <w:sz w:val="24"/>
              <w:szCs w:val="24"/>
              <w:lang w:val="en-GB"/>
            </w:rPr>
            <w:t>composed of a Prime Minister, four deputies (who also serve as ministers) and 16 other ministers.</w:t>
          </w:r>
          <w:r w:rsidR="00647226" w:rsidRPr="000D4A19">
            <w:rPr>
              <w:rFonts w:cstheme="minorHAnsi"/>
              <w:sz w:val="24"/>
              <w:szCs w:val="24"/>
              <w:lang w:val="en-GB"/>
            </w:rPr>
            <w:t xml:space="preserve"> </w:t>
          </w:r>
          <w:r w:rsidR="00F501CF" w:rsidRPr="000D4A19">
            <w:rPr>
              <w:rFonts w:cstheme="minorHAnsi"/>
              <w:sz w:val="24"/>
              <w:szCs w:val="24"/>
              <w:lang w:val="en-GB"/>
            </w:rPr>
            <w:t>Currently, o</w:t>
          </w:r>
          <w:r w:rsidR="00647226" w:rsidRPr="000D4A19">
            <w:rPr>
              <w:rFonts w:cstheme="minorHAnsi"/>
              <w:sz w:val="24"/>
              <w:szCs w:val="24"/>
              <w:lang w:val="en-GB"/>
            </w:rPr>
            <w:t xml:space="preserve">ut of the 21 members </w:t>
          </w:r>
          <w:r w:rsidR="008D4727" w:rsidRPr="000D4A19">
            <w:rPr>
              <w:rFonts w:cstheme="minorHAnsi"/>
              <w:sz w:val="24"/>
              <w:szCs w:val="24"/>
              <w:lang w:val="en-GB"/>
            </w:rPr>
            <w:t xml:space="preserve">of </w:t>
          </w:r>
          <w:r w:rsidR="00647226" w:rsidRPr="000D4A19">
            <w:rPr>
              <w:rFonts w:cstheme="minorHAnsi"/>
              <w:sz w:val="24"/>
              <w:szCs w:val="24"/>
              <w:lang w:val="en-GB"/>
            </w:rPr>
            <w:t xml:space="preserve">government, four </w:t>
          </w:r>
          <w:r w:rsidR="00647226" w:rsidRPr="000D4A19">
            <w:rPr>
              <w:sz w:val="24"/>
              <w:szCs w:val="24"/>
              <w:lang w:val="en-GB"/>
            </w:rPr>
            <w:t>are female</w:t>
          </w:r>
          <w:r w:rsidR="008E699F" w:rsidRPr="000D4A19">
            <w:rPr>
              <w:sz w:val="24"/>
              <w:szCs w:val="24"/>
              <w:lang w:val="en-GB"/>
            </w:rPr>
            <w:t xml:space="preserve"> (19%)</w:t>
          </w:r>
          <w:r w:rsidR="00647226" w:rsidRPr="000D4A19">
            <w:rPr>
              <w:sz w:val="24"/>
              <w:szCs w:val="24"/>
              <w:lang w:val="en-GB"/>
            </w:rPr>
            <w:t xml:space="preserve"> and 17 male</w:t>
          </w:r>
          <w:r w:rsidR="008E699F" w:rsidRPr="000D4A19">
            <w:rPr>
              <w:sz w:val="24"/>
              <w:szCs w:val="24"/>
              <w:lang w:val="en-GB"/>
            </w:rPr>
            <w:t xml:space="preserve"> (81%)</w:t>
          </w:r>
          <w:r w:rsidR="00647226" w:rsidRPr="000D4A19">
            <w:rPr>
              <w:sz w:val="24"/>
              <w:szCs w:val="24"/>
              <w:lang w:val="en-GB"/>
            </w:rPr>
            <w:t xml:space="preserve">.  </w:t>
          </w:r>
          <w:r w:rsidR="008E699F" w:rsidRPr="000D4A19">
            <w:rPr>
              <w:sz w:val="24"/>
              <w:szCs w:val="24"/>
              <w:lang w:val="en-GB"/>
            </w:rPr>
            <w:t xml:space="preserve">In this connection, the GET calls </w:t>
          </w:r>
          <w:r w:rsidR="008D4727" w:rsidRPr="000D4A19">
            <w:rPr>
              <w:sz w:val="24"/>
              <w:szCs w:val="24"/>
              <w:lang w:val="en-GB"/>
            </w:rPr>
            <w:t xml:space="preserve">the </w:t>
          </w:r>
          <w:r w:rsidR="008E699F" w:rsidRPr="000D4A19">
            <w:rPr>
              <w:sz w:val="24"/>
              <w:szCs w:val="24"/>
              <w:lang w:val="en-GB"/>
            </w:rPr>
            <w:t xml:space="preserve">attention of the Croatian authorities to </w:t>
          </w:r>
          <w:hyperlink r:id="rId22" w:history="1">
            <w:r w:rsidR="008E0168" w:rsidRPr="000D4A19">
              <w:rPr>
                <w:rStyle w:val="Hiperveza"/>
                <w:rFonts w:eastAsia="Times New Roman"/>
                <w:sz w:val="24"/>
                <w:szCs w:val="24"/>
                <w:lang w:val="en-GB"/>
              </w:rPr>
              <w:t>Recommendation Rec(2003)3</w:t>
            </w:r>
          </w:hyperlink>
          <w:r w:rsidR="008E699F" w:rsidRPr="000D4A19">
            <w:rPr>
              <w:sz w:val="24"/>
              <w:szCs w:val="24"/>
              <w:lang w:val="en-GB"/>
            </w:rPr>
            <w:t xml:space="preserve"> of the Committee of Ministers of the Council of Europe to members states on balanced participation of women and men, which outlines that the representation of either women or men in any decision-making body in political or public life should not fall below 40%. </w:t>
          </w:r>
        </w:p>
        <w:p w14:paraId="04B94029" w14:textId="21D27774" w:rsidR="008E0168" w:rsidRPr="000D4A19" w:rsidRDefault="008E0168" w:rsidP="00051311">
          <w:pPr>
            <w:tabs>
              <w:tab w:val="left" w:pos="709"/>
              <w:tab w:val="num" w:pos="4679"/>
            </w:tabs>
            <w:spacing w:after="0" w:line="240" w:lineRule="auto"/>
            <w:jc w:val="both"/>
            <w:rPr>
              <w:rFonts w:cstheme="minorHAnsi"/>
              <w:i/>
              <w:sz w:val="24"/>
              <w:szCs w:val="24"/>
              <w:lang w:val="en-GB"/>
            </w:rPr>
          </w:pPr>
        </w:p>
        <w:p w14:paraId="4CFFBF2C" w14:textId="0975708E" w:rsidR="009919AC" w:rsidRPr="000D4A19" w:rsidRDefault="009919AC" w:rsidP="00051311">
          <w:pPr>
            <w:pStyle w:val="Naslov3"/>
            <w:spacing w:before="0" w:line="240" w:lineRule="auto"/>
            <w:rPr>
              <w:rFonts w:asciiTheme="minorHAnsi" w:hAnsiTheme="minorHAnsi" w:cstheme="minorHAnsi"/>
              <w:b w:val="0"/>
              <w:i/>
              <w:color w:val="auto"/>
              <w:sz w:val="24"/>
              <w:szCs w:val="24"/>
              <w:lang w:val="en-GB"/>
            </w:rPr>
          </w:pPr>
          <w:bookmarkStart w:id="26" w:name="_Toc25229289"/>
          <w:r w:rsidRPr="000D4A19">
            <w:rPr>
              <w:rFonts w:asciiTheme="minorHAnsi" w:hAnsiTheme="minorHAnsi" w:cstheme="minorHAnsi"/>
              <w:b w:val="0"/>
              <w:i/>
              <w:color w:val="auto"/>
              <w:sz w:val="24"/>
              <w:szCs w:val="24"/>
              <w:lang w:val="en-GB"/>
            </w:rPr>
            <w:t>Governmental appointees in executive functions</w:t>
          </w:r>
          <w:bookmarkEnd w:id="26"/>
          <w:r w:rsidRPr="000D4A19">
            <w:rPr>
              <w:rFonts w:asciiTheme="minorHAnsi" w:hAnsiTheme="minorHAnsi" w:cstheme="minorHAnsi"/>
              <w:b w:val="0"/>
              <w:i/>
              <w:color w:val="auto"/>
              <w:sz w:val="24"/>
              <w:szCs w:val="24"/>
              <w:lang w:val="en-GB"/>
            </w:rPr>
            <w:t xml:space="preserve"> </w:t>
          </w:r>
        </w:p>
        <w:p w14:paraId="0BEB044D" w14:textId="77777777" w:rsidR="008E699F" w:rsidRPr="000D4A19" w:rsidRDefault="008E699F" w:rsidP="00051311">
          <w:pPr>
            <w:tabs>
              <w:tab w:val="left" w:pos="709"/>
              <w:tab w:val="num" w:pos="4679"/>
            </w:tabs>
            <w:spacing w:after="0" w:line="240" w:lineRule="auto"/>
            <w:jc w:val="both"/>
            <w:rPr>
              <w:rFonts w:cstheme="minorHAnsi"/>
              <w:sz w:val="24"/>
              <w:szCs w:val="24"/>
              <w:lang w:val="en-GB"/>
            </w:rPr>
          </w:pPr>
        </w:p>
        <w:p w14:paraId="3F0C2B54" w14:textId="675CD52B" w:rsidR="004478AB" w:rsidRPr="000D4A19" w:rsidRDefault="008E699F" w:rsidP="00051311">
          <w:pPr>
            <w:numPr>
              <w:ilvl w:val="0"/>
              <w:numId w:val="1"/>
            </w:numPr>
            <w:tabs>
              <w:tab w:val="left" w:pos="709"/>
              <w:tab w:val="num" w:pos="1557"/>
              <w:tab w:val="num" w:pos="4679"/>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Other than members of the government, </w:t>
          </w:r>
          <w:r w:rsidR="00014763" w:rsidRPr="000D4A19">
            <w:rPr>
              <w:rFonts w:cstheme="minorHAnsi"/>
              <w:sz w:val="24"/>
              <w:szCs w:val="24"/>
              <w:lang w:val="en-GB"/>
            </w:rPr>
            <w:t xml:space="preserve">there are </w:t>
          </w:r>
          <w:r w:rsidR="005C28E2" w:rsidRPr="000D4A19">
            <w:rPr>
              <w:rFonts w:cstheme="minorHAnsi"/>
              <w:sz w:val="24"/>
              <w:szCs w:val="24"/>
              <w:lang w:val="en-GB"/>
            </w:rPr>
            <w:t xml:space="preserve">two more categories </w:t>
          </w:r>
          <w:r w:rsidR="003A4E32" w:rsidRPr="000D4A19">
            <w:rPr>
              <w:rFonts w:cstheme="minorHAnsi"/>
              <w:sz w:val="24"/>
              <w:szCs w:val="24"/>
              <w:lang w:val="en-GB"/>
            </w:rPr>
            <w:t xml:space="preserve">of political appointees who in </w:t>
          </w:r>
          <w:r w:rsidR="008D4727" w:rsidRPr="000D4A19">
            <w:rPr>
              <w:rFonts w:cstheme="minorHAnsi"/>
              <w:sz w:val="24"/>
              <w:szCs w:val="24"/>
              <w:lang w:val="en-GB"/>
            </w:rPr>
            <w:t xml:space="preserve">the </w:t>
          </w:r>
          <w:r w:rsidR="003A4E32" w:rsidRPr="000D4A19">
            <w:rPr>
              <w:rFonts w:cstheme="minorHAnsi"/>
              <w:sz w:val="24"/>
              <w:szCs w:val="24"/>
              <w:lang w:val="en-GB"/>
            </w:rPr>
            <w:t xml:space="preserve">view of the GET should be considered as PTEFs, as they </w:t>
          </w:r>
          <w:r w:rsidR="005C28E2" w:rsidRPr="000D4A19">
            <w:rPr>
              <w:rFonts w:cstheme="minorHAnsi"/>
              <w:sz w:val="24"/>
              <w:szCs w:val="24"/>
              <w:lang w:val="en-GB"/>
            </w:rPr>
            <w:t>participate on a regular basis in the development or execution of governmental functions</w:t>
          </w:r>
          <w:r w:rsidR="00645C71" w:rsidRPr="000D4A19">
            <w:rPr>
              <w:rFonts w:cstheme="minorHAnsi"/>
              <w:sz w:val="24"/>
              <w:szCs w:val="24"/>
              <w:lang w:val="en-GB"/>
            </w:rPr>
            <w:t xml:space="preserve">: </w:t>
          </w:r>
          <w:r w:rsidR="002255FA" w:rsidRPr="000D4A19">
            <w:rPr>
              <w:rFonts w:cstheme="minorHAnsi"/>
              <w:sz w:val="24"/>
              <w:szCs w:val="24"/>
              <w:u w:val="single"/>
              <w:lang w:val="en-GB"/>
            </w:rPr>
            <w:t>state secretaries</w:t>
          </w:r>
          <w:r w:rsidR="002255FA" w:rsidRPr="000D4A19">
            <w:rPr>
              <w:rStyle w:val="Referencafusnote"/>
              <w:rFonts w:cstheme="minorHAnsi"/>
              <w:sz w:val="24"/>
              <w:szCs w:val="24"/>
              <w:lang w:val="en-GB"/>
            </w:rPr>
            <w:footnoteReference w:id="18"/>
          </w:r>
          <w:r w:rsidR="00014763" w:rsidRPr="000D4A19">
            <w:rPr>
              <w:rFonts w:cstheme="minorHAnsi"/>
              <w:sz w:val="24"/>
              <w:szCs w:val="24"/>
              <w:lang w:val="en-GB"/>
            </w:rPr>
            <w:t xml:space="preserve"> and</w:t>
          </w:r>
          <w:r w:rsidR="00645C71" w:rsidRPr="000D4A19">
            <w:rPr>
              <w:rFonts w:cstheme="minorHAnsi"/>
              <w:sz w:val="24"/>
              <w:szCs w:val="24"/>
              <w:lang w:val="en-GB"/>
            </w:rPr>
            <w:t xml:space="preserve"> </w:t>
          </w:r>
          <w:r w:rsidR="002255FA" w:rsidRPr="000D4A19">
            <w:rPr>
              <w:rFonts w:cstheme="minorHAnsi"/>
              <w:sz w:val="24"/>
              <w:szCs w:val="24"/>
              <w:u w:val="single"/>
              <w:lang w:val="en-GB"/>
            </w:rPr>
            <w:t>assistant ministers</w:t>
          </w:r>
          <w:r w:rsidR="00014763" w:rsidRPr="000D4A19">
            <w:rPr>
              <w:rStyle w:val="Referencafusnote"/>
              <w:rFonts w:cstheme="minorHAnsi"/>
              <w:sz w:val="24"/>
              <w:szCs w:val="24"/>
              <w:lang w:val="en-GB"/>
            </w:rPr>
            <w:footnoteReference w:id="19"/>
          </w:r>
          <w:r w:rsidR="00014763" w:rsidRPr="000D4A19">
            <w:rPr>
              <w:rFonts w:cstheme="minorHAnsi"/>
              <w:sz w:val="24"/>
              <w:szCs w:val="24"/>
              <w:lang w:val="en-GB"/>
            </w:rPr>
            <w:t>. Both categories of political appointees are state officials, in accordance with the Law on Rights and Obli</w:t>
          </w:r>
          <w:r w:rsidR="00D65D2A" w:rsidRPr="000D4A19">
            <w:rPr>
              <w:rFonts w:cstheme="minorHAnsi"/>
              <w:sz w:val="24"/>
              <w:szCs w:val="24"/>
              <w:lang w:val="en-GB"/>
            </w:rPr>
            <w:t>gations of State Officials,</w:t>
          </w:r>
          <w:r w:rsidR="008D4727" w:rsidRPr="000D4A19">
            <w:rPr>
              <w:rFonts w:cstheme="minorHAnsi"/>
              <w:sz w:val="24"/>
              <w:szCs w:val="24"/>
              <w:lang w:val="en-GB"/>
            </w:rPr>
            <w:t xml:space="preserve"> </w:t>
          </w:r>
          <w:r w:rsidR="00014763" w:rsidRPr="000D4A19">
            <w:rPr>
              <w:rFonts w:cstheme="minorHAnsi"/>
              <w:sz w:val="24"/>
              <w:szCs w:val="24"/>
              <w:lang w:val="en-GB"/>
            </w:rPr>
            <w:t xml:space="preserve">fall within the remit of the Law on </w:t>
          </w:r>
          <w:r w:rsidR="00266AD8" w:rsidRPr="000D4A19">
            <w:rPr>
              <w:rFonts w:cstheme="minorHAnsi"/>
              <w:sz w:val="24"/>
              <w:szCs w:val="24"/>
              <w:lang w:val="en-GB"/>
            </w:rPr>
            <w:t xml:space="preserve">the Prevention of </w:t>
          </w:r>
          <w:r w:rsidR="00014763" w:rsidRPr="000D4A19">
            <w:rPr>
              <w:rFonts w:cstheme="minorHAnsi"/>
              <w:sz w:val="24"/>
              <w:szCs w:val="24"/>
              <w:lang w:val="en-GB"/>
            </w:rPr>
            <w:t>Conflicts of Interest</w:t>
          </w:r>
          <w:r w:rsidR="00266AD8" w:rsidRPr="000D4A19">
            <w:rPr>
              <w:rFonts w:cstheme="minorHAnsi"/>
              <w:sz w:val="24"/>
              <w:szCs w:val="24"/>
              <w:lang w:val="en-GB"/>
            </w:rPr>
            <w:t xml:space="preserve"> </w:t>
          </w:r>
          <w:r w:rsidR="00D65D2A" w:rsidRPr="000D4A19">
            <w:rPr>
              <w:rFonts w:cstheme="minorHAnsi"/>
              <w:sz w:val="24"/>
              <w:szCs w:val="24"/>
              <w:lang w:val="en-GB"/>
            </w:rPr>
            <w:t>and are subject to similar security clearances as members of the government (due to their access to confidential information)</w:t>
          </w:r>
          <w:r w:rsidR="00014763" w:rsidRPr="000D4A19">
            <w:rPr>
              <w:rFonts w:cstheme="minorHAnsi"/>
              <w:sz w:val="24"/>
              <w:szCs w:val="24"/>
              <w:lang w:val="en-GB"/>
            </w:rPr>
            <w:t xml:space="preserve">. </w:t>
          </w:r>
          <w:r w:rsidR="008B1C01">
            <w:rPr>
              <w:rFonts w:cstheme="minorHAnsi"/>
              <w:sz w:val="24"/>
              <w:szCs w:val="24"/>
              <w:lang w:val="en-GB"/>
            </w:rPr>
            <w:t xml:space="preserve">In July 2019, </w:t>
          </w:r>
          <w:r w:rsidR="00014763" w:rsidRPr="000D4A19">
            <w:rPr>
              <w:rFonts w:cstheme="minorHAnsi"/>
              <w:sz w:val="24"/>
              <w:szCs w:val="24"/>
              <w:lang w:val="en-GB"/>
            </w:rPr>
            <w:t xml:space="preserve">amendments to the Law on the State Administration System, which </w:t>
          </w:r>
          <w:r w:rsidR="00E86F12">
            <w:rPr>
              <w:rFonts w:cstheme="minorHAnsi"/>
              <w:sz w:val="24"/>
              <w:szCs w:val="24"/>
              <w:lang w:val="en-GB"/>
            </w:rPr>
            <w:t>aim to facilitate the</w:t>
          </w:r>
          <w:r w:rsidR="00014763" w:rsidRPr="000D4A19">
            <w:rPr>
              <w:rFonts w:cstheme="minorHAnsi"/>
              <w:sz w:val="24"/>
              <w:szCs w:val="24"/>
              <w:lang w:val="en-GB"/>
            </w:rPr>
            <w:t xml:space="preserve"> </w:t>
          </w:r>
          <w:r w:rsidR="0057153D" w:rsidRPr="000D4A19">
            <w:rPr>
              <w:rFonts w:cstheme="minorHAnsi"/>
              <w:sz w:val="24"/>
              <w:szCs w:val="24"/>
              <w:lang w:val="en-GB"/>
            </w:rPr>
            <w:t>de-p</w:t>
          </w:r>
          <w:r w:rsidR="00D65D2A" w:rsidRPr="000D4A19">
            <w:rPr>
              <w:rFonts w:cstheme="minorHAnsi"/>
              <w:sz w:val="24"/>
              <w:szCs w:val="24"/>
              <w:lang w:val="en-GB"/>
            </w:rPr>
            <w:t>oliticisation and professionalis</w:t>
          </w:r>
          <w:r w:rsidR="0057153D" w:rsidRPr="000D4A19">
            <w:rPr>
              <w:rFonts w:cstheme="minorHAnsi"/>
              <w:sz w:val="24"/>
              <w:szCs w:val="24"/>
              <w:lang w:val="en-GB"/>
            </w:rPr>
            <w:t>ation of the state administration system,</w:t>
          </w:r>
          <w:r w:rsidR="008B1C01">
            <w:rPr>
              <w:rFonts w:cstheme="minorHAnsi"/>
              <w:sz w:val="24"/>
              <w:szCs w:val="24"/>
              <w:lang w:val="en-GB"/>
            </w:rPr>
            <w:t xml:space="preserve"> entered into force. Once directors have been appointed </w:t>
          </w:r>
          <w:r w:rsidR="00575E76">
            <w:rPr>
              <w:rFonts w:cstheme="minorHAnsi"/>
              <w:sz w:val="24"/>
              <w:szCs w:val="24"/>
              <w:lang w:val="en-GB"/>
            </w:rPr>
            <w:t xml:space="preserve">in </w:t>
          </w:r>
          <w:r w:rsidR="005148A5">
            <w:rPr>
              <w:rFonts w:cstheme="minorHAnsi"/>
              <w:sz w:val="24"/>
              <w:szCs w:val="24"/>
              <w:lang w:val="en-GB"/>
            </w:rPr>
            <w:t xml:space="preserve">the </w:t>
          </w:r>
          <w:r w:rsidR="00575E76">
            <w:rPr>
              <w:rFonts w:cstheme="minorHAnsi"/>
              <w:sz w:val="24"/>
              <w:szCs w:val="24"/>
              <w:lang w:val="en-GB"/>
            </w:rPr>
            <w:t xml:space="preserve">various ministries </w:t>
          </w:r>
          <w:r w:rsidR="008B1C01">
            <w:rPr>
              <w:rFonts w:cstheme="minorHAnsi"/>
              <w:sz w:val="24"/>
              <w:szCs w:val="24"/>
              <w:lang w:val="en-GB"/>
            </w:rPr>
            <w:t>following these amendments,</w:t>
          </w:r>
          <w:r w:rsidR="0057153D" w:rsidRPr="000D4A19">
            <w:rPr>
              <w:rFonts w:cstheme="minorHAnsi"/>
              <w:sz w:val="24"/>
              <w:szCs w:val="24"/>
              <w:lang w:val="en-GB"/>
            </w:rPr>
            <w:t xml:space="preserve"> the </w:t>
          </w:r>
          <w:r w:rsidR="002B7371" w:rsidRPr="000D4A19">
            <w:rPr>
              <w:rFonts w:cstheme="minorHAnsi"/>
              <w:sz w:val="24"/>
              <w:szCs w:val="24"/>
              <w:lang w:val="en-GB"/>
            </w:rPr>
            <w:t xml:space="preserve">function of </w:t>
          </w:r>
          <w:r w:rsidR="00AA4F6D">
            <w:rPr>
              <w:rFonts w:cstheme="minorHAnsi"/>
              <w:sz w:val="24"/>
              <w:szCs w:val="24"/>
              <w:lang w:val="en-GB"/>
            </w:rPr>
            <w:t xml:space="preserve">assistant </w:t>
          </w:r>
          <w:r w:rsidR="002B7371" w:rsidRPr="000D4A19">
            <w:rPr>
              <w:rFonts w:cstheme="minorHAnsi"/>
              <w:sz w:val="24"/>
              <w:szCs w:val="24"/>
              <w:lang w:val="en-GB"/>
            </w:rPr>
            <w:t xml:space="preserve">minister </w:t>
          </w:r>
          <w:r w:rsidR="00AA4F6D">
            <w:rPr>
              <w:rFonts w:cstheme="minorHAnsi"/>
              <w:sz w:val="24"/>
              <w:szCs w:val="24"/>
              <w:lang w:val="en-GB"/>
            </w:rPr>
            <w:t xml:space="preserve">will </w:t>
          </w:r>
          <w:r w:rsidR="002B7371" w:rsidRPr="000D4A19">
            <w:rPr>
              <w:rFonts w:cstheme="minorHAnsi"/>
              <w:sz w:val="24"/>
              <w:szCs w:val="24"/>
              <w:lang w:val="en-GB"/>
            </w:rPr>
            <w:t xml:space="preserve">no longer exist in the Croatian state administration system. </w:t>
          </w:r>
        </w:p>
        <w:p w14:paraId="4C479C17" w14:textId="77777777" w:rsidR="004478AB" w:rsidRPr="000D4A19" w:rsidRDefault="004478AB" w:rsidP="004478AB">
          <w:pPr>
            <w:tabs>
              <w:tab w:val="left" w:pos="709"/>
              <w:tab w:val="num" w:pos="1557"/>
              <w:tab w:val="num" w:pos="4679"/>
            </w:tabs>
            <w:spacing w:after="0" w:line="240" w:lineRule="auto"/>
            <w:jc w:val="both"/>
            <w:rPr>
              <w:rFonts w:cstheme="minorHAnsi"/>
              <w:sz w:val="24"/>
              <w:szCs w:val="24"/>
              <w:highlight w:val="yellow"/>
              <w:lang w:val="en-GB"/>
            </w:rPr>
          </w:pPr>
        </w:p>
        <w:p w14:paraId="626FE20A" w14:textId="67B6FB3B" w:rsidR="009C39E2" w:rsidRPr="000D4A19" w:rsidRDefault="005B0BC5" w:rsidP="00D65D2A">
          <w:pPr>
            <w:numPr>
              <w:ilvl w:val="0"/>
              <w:numId w:val="1"/>
            </w:numPr>
            <w:tabs>
              <w:tab w:val="left" w:pos="709"/>
              <w:tab w:val="num" w:pos="1557"/>
              <w:tab w:val="num" w:pos="4679"/>
            </w:tabs>
            <w:spacing w:after="0" w:line="240" w:lineRule="auto"/>
            <w:ind w:left="0" w:firstLine="0"/>
            <w:jc w:val="both"/>
            <w:rPr>
              <w:rFonts w:cstheme="minorHAnsi"/>
              <w:sz w:val="24"/>
              <w:szCs w:val="24"/>
              <w:lang w:val="en-GB"/>
            </w:rPr>
          </w:pPr>
          <w:r w:rsidRPr="000D4A19">
            <w:rPr>
              <w:rFonts w:cstheme="minorHAnsi"/>
              <w:sz w:val="24"/>
              <w:szCs w:val="24"/>
              <w:lang w:val="en-GB"/>
            </w:rPr>
            <w:t>In addition, the Law on the State Administration System recognises</w:t>
          </w:r>
          <w:r w:rsidR="00D65D2A" w:rsidRPr="000D4A19">
            <w:rPr>
              <w:rFonts w:cstheme="minorHAnsi"/>
              <w:sz w:val="24"/>
              <w:szCs w:val="24"/>
              <w:lang w:val="en-GB"/>
            </w:rPr>
            <w:t xml:space="preserve"> the following two categories as state officials:</w:t>
          </w:r>
          <w:r w:rsidRPr="000D4A19">
            <w:rPr>
              <w:rFonts w:cstheme="minorHAnsi"/>
              <w:sz w:val="24"/>
              <w:szCs w:val="24"/>
              <w:lang w:val="en-GB"/>
            </w:rPr>
            <w:t xml:space="preserve"> </w:t>
          </w:r>
          <w:r w:rsidRPr="000D4A19">
            <w:rPr>
              <w:rFonts w:cstheme="minorHAnsi"/>
              <w:sz w:val="24"/>
              <w:szCs w:val="24"/>
              <w:u w:val="single"/>
              <w:lang w:val="en-GB"/>
            </w:rPr>
            <w:t>state secretaries of central state offices</w:t>
          </w:r>
          <w:r w:rsidR="0025469C" w:rsidRPr="000D4A19">
            <w:rPr>
              <w:rStyle w:val="Referencafusnote"/>
              <w:rFonts w:cstheme="minorHAnsi"/>
              <w:sz w:val="24"/>
              <w:szCs w:val="24"/>
              <w:lang w:val="en-GB"/>
            </w:rPr>
            <w:footnoteReference w:id="20"/>
          </w:r>
          <w:r w:rsidRPr="000D4A19">
            <w:rPr>
              <w:rFonts w:cstheme="minorHAnsi"/>
              <w:sz w:val="24"/>
              <w:szCs w:val="24"/>
              <w:lang w:val="en-GB"/>
            </w:rPr>
            <w:t xml:space="preserve"> (Article 45), who represent and lead such institutions as the State Inspectorate, Central State Offices of Public Procurement, for Croats Abroad or for Sport, and </w:t>
          </w:r>
          <w:r w:rsidRPr="000D4A19">
            <w:rPr>
              <w:rFonts w:cstheme="minorHAnsi"/>
              <w:sz w:val="24"/>
              <w:szCs w:val="24"/>
              <w:u w:val="single"/>
              <w:lang w:val="en-GB"/>
            </w:rPr>
            <w:t>director generals of state administration organisations</w:t>
          </w:r>
          <w:r w:rsidR="00A37E2E" w:rsidRPr="000D4A19">
            <w:rPr>
              <w:rStyle w:val="Referencafusnote"/>
              <w:rFonts w:cstheme="minorHAnsi"/>
              <w:sz w:val="24"/>
              <w:szCs w:val="24"/>
              <w:lang w:val="en-GB"/>
            </w:rPr>
            <w:footnoteReference w:id="21"/>
          </w:r>
          <w:r w:rsidRPr="000D4A19">
            <w:rPr>
              <w:rFonts w:cstheme="minorHAnsi"/>
              <w:sz w:val="24"/>
              <w:szCs w:val="24"/>
              <w:lang w:val="en-GB"/>
            </w:rPr>
            <w:t xml:space="preserve"> (Article 51), who represent and lead such institutions as the State Intellectual Property Office and the State Bureau of Statistics.</w:t>
          </w:r>
          <w:r w:rsidR="00D65D2A" w:rsidRPr="000D4A19">
            <w:rPr>
              <w:rFonts w:cstheme="minorHAnsi"/>
              <w:sz w:val="24"/>
              <w:szCs w:val="24"/>
              <w:lang w:val="en-GB"/>
            </w:rPr>
            <w:t xml:space="preserve"> </w:t>
          </w:r>
          <w:r w:rsidR="00864A45" w:rsidRPr="000D4A19">
            <w:rPr>
              <w:rFonts w:cstheme="minorHAnsi"/>
              <w:sz w:val="24"/>
              <w:szCs w:val="24"/>
              <w:lang w:val="en-GB"/>
            </w:rPr>
            <w:t xml:space="preserve">To this the Law on Government adds the position of </w:t>
          </w:r>
          <w:r w:rsidR="00864A45" w:rsidRPr="000D4A19">
            <w:rPr>
              <w:rFonts w:cstheme="minorHAnsi"/>
              <w:sz w:val="24"/>
              <w:szCs w:val="24"/>
              <w:u w:val="single"/>
              <w:lang w:val="en-GB"/>
            </w:rPr>
            <w:t>general secretary of the government</w:t>
          </w:r>
          <w:r w:rsidR="0066473E" w:rsidRPr="00BC2665">
            <w:rPr>
              <w:rFonts w:cstheme="minorHAnsi"/>
              <w:sz w:val="24"/>
              <w:szCs w:val="24"/>
              <w:lang w:val="en-GB"/>
            </w:rPr>
            <w:t xml:space="preserve"> (Article 20, Law on Government), who coordinates the </w:t>
          </w:r>
          <w:r w:rsidR="00310B33" w:rsidRPr="00BC2665">
            <w:rPr>
              <w:rFonts w:cstheme="minorHAnsi"/>
              <w:sz w:val="24"/>
              <w:szCs w:val="24"/>
              <w:lang w:val="en-GB"/>
            </w:rPr>
            <w:t xml:space="preserve">administration of the </w:t>
          </w:r>
          <w:r w:rsidR="0066473E" w:rsidRPr="00BC2665">
            <w:rPr>
              <w:rFonts w:cstheme="minorHAnsi"/>
              <w:sz w:val="24"/>
              <w:szCs w:val="24"/>
              <w:lang w:val="en-GB"/>
            </w:rPr>
            <w:t>government, and assists the Prime Minister in preparing governmental sessions and other tasks of the government, and</w:t>
          </w:r>
          <w:r w:rsidR="0066473E" w:rsidRPr="000D4A19">
            <w:rPr>
              <w:rFonts w:cstheme="minorHAnsi"/>
              <w:sz w:val="24"/>
              <w:szCs w:val="24"/>
              <w:u w:val="single"/>
              <w:lang w:val="en-GB"/>
            </w:rPr>
            <w:t xml:space="preserve"> head of office of the prime minister</w:t>
          </w:r>
          <w:r w:rsidR="0066473E" w:rsidRPr="00BC2665">
            <w:rPr>
              <w:rFonts w:cstheme="minorHAnsi"/>
              <w:sz w:val="24"/>
              <w:szCs w:val="24"/>
              <w:lang w:val="en-GB"/>
            </w:rPr>
            <w:t xml:space="preserve"> (Article 18, Law on Government), who manages the work of the office of the prime minister, co-ordinating with other government offices. </w:t>
          </w:r>
          <w:r w:rsidR="00E86F12">
            <w:rPr>
              <w:rFonts w:cstheme="minorHAnsi"/>
              <w:sz w:val="24"/>
              <w:szCs w:val="24"/>
              <w:lang w:val="en-GB"/>
            </w:rPr>
            <w:t>The GET does not consider</w:t>
          </w:r>
          <w:r w:rsidR="00D65D2A" w:rsidRPr="000D4A19">
            <w:rPr>
              <w:rFonts w:cstheme="minorHAnsi"/>
              <w:sz w:val="24"/>
              <w:szCs w:val="24"/>
              <w:lang w:val="en-GB"/>
            </w:rPr>
            <w:t xml:space="preserve"> the</w:t>
          </w:r>
          <w:r w:rsidR="0066473E" w:rsidRPr="000D4A19">
            <w:rPr>
              <w:rFonts w:cstheme="minorHAnsi"/>
              <w:sz w:val="24"/>
              <w:szCs w:val="24"/>
              <w:lang w:val="en-GB"/>
            </w:rPr>
            <w:t xml:space="preserve">se officials </w:t>
          </w:r>
          <w:r w:rsidR="00D65D2A" w:rsidRPr="000D4A19">
            <w:rPr>
              <w:rFonts w:cstheme="minorHAnsi"/>
              <w:sz w:val="24"/>
              <w:szCs w:val="24"/>
              <w:lang w:val="en-GB"/>
            </w:rPr>
            <w:t>as PTEFs for the purpose of this report (given that they do no</w:t>
          </w:r>
          <w:r w:rsidR="00507B92" w:rsidRPr="000D4A19">
            <w:rPr>
              <w:rFonts w:cstheme="minorHAnsi"/>
              <w:sz w:val="24"/>
              <w:szCs w:val="24"/>
              <w:lang w:val="en-GB"/>
            </w:rPr>
            <w:t>t</w:t>
          </w:r>
          <w:r w:rsidR="00D65D2A" w:rsidRPr="000D4A19">
            <w:rPr>
              <w:rFonts w:cstheme="minorHAnsi"/>
              <w:sz w:val="24"/>
              <w:szCs w:val="24"/>
              <w:lang w:val="en-GB"/>
            </w:rPr>
            <w:t xml:space="preserve"> participate </w:t>
          </w:r>
          <w:r w:rsidR="009C39E2" w:rsidRPr="000D4A19">
            <w:rPr>
              <w:rFonts w:cstheme="minorHAnsi"/>
              <w:sz w:val="24"/>
              <w:szCs w:val="24"/>
              <w:lang w:val="en-GB"/>
            </w:rPr>
            <w:t>on a regular basis in the development or execution of governmental functions, but rather carry out decisions and policies of the government in a very specific field</w:t>
          </w:r>
          <w:r w:rsidR="00D65D2A" w:rsidRPr="000D4A19">
            <w:rPr>
              <w:rFonts w:cstheme="minorHAnsi"/>
              <w:sz w:val="24"/>
              <w:szCs w:val="24"/>
              <w:lang w:val="en-GB"/>
            </w:rPr>
            <w:t>)</w:t>
          </w:r>
          <w:r w:rsidR="00E86F12">
            <w:rPr>
              <w:rFonts w:cstheme="minorHAnsi"/>
              <w:sz w:val="24"/>
              <w:szCs w:val="24"/>
              <w:lang w:val="en-GB"/>
            </w:rPr>
            <w:t>. Nevertheless, it is to be welcomed</w:t>
          </w:r>
          <w:r w:rsidR="00D65D2A" w:rsidRPr="000D4A19">
            <w:rPr>
              <w:rFonts w:cstheme="minorHAnsi"/>
              <w:sz w:val="24"/>
              <w:szCs w:val="24"/>
              <w:lang w:val="en-GB"/>
            </w:rPr>
            <w:t xml:space="preserve"> </w:t>
          </w:r>
          <w:r w:rsidR="009C39E2" w:rsidRPr="000D4A19">
            <w:rPr>
              <w:rFonts w:cstheme="minorHAnsi"/>
              <w:sz w:val="24"/>
              <w:szCs w:val="24"/>
              <w:lang w:val="en-GB"/>
            </w:rPr>
            <w:t xml:space="preserve">that these categories of functions </w:t>
          </w:r>
          <w:r w:rsidR="00577951" w:rsidRPr="000D4A19">
            <w:rPr>
              <w:rFonts w:cstheme="minorHAnsi"/>
              <w:sz w:val="24"/>
              <w:szCs w:val="24"/>
              <w:lang w:val="en-GB"/>
            </w:rPr>
            <w:t xml:space="preserve">are explicitly covered by the Law on the Prevention of Conflicts of Interest. </w:t>
          </w:r>
        </w:p>
        <w:p w14:paraId="4315070D" w14:textId="77777777" w:rsidR="00E7251E" w:rsidRPr="000D4A19" w:rsidRDefault="00E7251E" w:rsidP="00C3336E">
          <w:pPr>
            <w:tabs>
              <w:tab w:val="left" w:pos="709"/>
              <w:tab w:val="num" w:pos="1557"/>
              <w:tab w:val="num" w:pos="4679"/>
            </w:tabs>
            <w:spacing w:after="0" w:line="240" w:lineRule="auto"/>
            <w:jc w:val="both"/>
            <w:rPr>
              <w:rFonts w:cstheme="minorHAnsi"/>
              <w:sz w:val="24"/>
              <w:szCs w:val="24"/>
              <w:lang w:val="en-GB"/>
            </w:rPr>
          </w:pPr>
        </w:p>
        <w:p w14:paraId="74AE155B" w14:textId="38E4DE65" w:rsidR="00CD5BB3" w:rsidRPr="000D4A19" w:rsidRDefault="00A37E2E" w:rsidP="000524F8">
          <w:pPr>
            <w:numPr>
              <w:ilvl w:val="0"/>
              <w:numId w:val="1"/>
            </w:numPr>
            <w:tabs>
              <w:tab w:val="left" w:pos="709"/>
              <w:tab w:val="num" w:pos="1557"/>
              <w:tab w:val="num" w:pos="4679"/>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Additionally, the Law on </w:t>
          </w:r>
          <w:r w:rsidRPr="00E86F12">
            <w:rPr>
              <w:rFonts w:cstheme="minorHAnsi"/>
              <w:sz w:val="24"/>
              <w:szCs w:val="24"/>
              <w:lang w:val="en-GB"/>
            </w:rPr>
            <w:t>the State Administration System mentions various civil servants holding managerial positions, such as the secretary general in a ministry (Ar</w:t>
          </w:r>
          <w:r w:rsidR="005F5ACA" w:rsidRPr="00E86F12">
            <w:rPr>
              <w:rFonts w:cstheme="minorHAnsi"/>
              <w:sz w:val="24"/>
              <w:szCs w:val="24"/>
              <w:lang w:val="en-GB"/>
            </w:rPr>
            <w:t>ticle 42), the deputy secretary and secretary general of a central state office (Article 46 and 47) and the deputy director of a state administration o</w:t>
          </w:r>
          <w:r w:rsidR="005719C8" w:rsidRPr="00E86F12">
            <w:rPr>
              <w:rFonts w:cstheme="minorHAnsi"/>
              <w:sz w:val="24"/>
              <w:szCs w:val="24"/>
              <w:lang w:val="en-GB"/>
            </w:rPr>
            <w:t>rganisation</w:t>
          </w:r>
          <w:r w:rsidR="005F5ACA" w:rsidRPr="00E86F12">
            <w:rPr>
              <w:rFonts w:cstheme="minorHAnsi"/>
              <w:sz w:val="24"/>
              <w:szCs w:val="24"/>
              <w:lang w:val="en-GB"/>
            </w:rPr>
            <w:t xml:space="preserve"> (</w:t>
          </w:r>
          <w:r w:rsidR="005F5ACA" w:rsidRPr="000D4A19">
            <w:rPr>
              <w:rFonts w:cstheme="minorHAnsi"/>
              <w:sz w:val="24"/>
              <w:szCs w:val="24"/>
              <w:lang w:val="en-GB"/>
            </w:rPr>
            <w:t>Article 52).</w:t>
          </w:r>
          <w:r w:rsidR="00266AD8" w:rsidRPr="000D4A19">
            <w:rPr>
              <w:rFonts w:cstheme="minorHAnsi"/>
              <w:sz w:val="24"/>
              <w:szCs w:val="24"/>
              <w:lang w:val="en-GB"/>
            </w:rPr>
            <w:t xml:space="preserve"> </w:t>
          </w:r>
          <w:r w:rsidR="0066473E" w:rsidRPr="000D4A19">
            <w:rPr>
              <w:rFonts w:cstheme="minorHAnsi"/>
              <w:sz w:val="24"/>
              <w:szCs w:val="24"/>
              <w:lang w:val="en-GB"/>
            </w:rPr>
            <w:t xml:space="preserve">In addition, the Law on Government recognises the position of head of office of a deputy prime minister (Article 22, Law on Government). </w:t>
          </w:r>
          <w:r w:rsidR="00577951" w:rsidRPr="000D4A19">
            <w:rPr>
              <w:rFonts w:cstheme="minorHAnsi"/>
              <w:sz w:val="24"/>
              <w:szCs w:val="24"/>
              <w:lang w:val="en-GB"/>
            </w:rPr>
            <w:t>The GET does not consider these categories of positions to be PTEFs</w:t>
          </w:r>
          <w:r w:rsidR="00963B47" w:rsidRPr="000D4A19">
            <w:rPr>
              <w:rFonts w:cstheme="minorHAnsi"/>
              <w:sz w:val="24"/>
              <w:szCs w:val="24"/>
              <w:lang w:val="en-GB"/>
            </w:rPr>
            <w:t xml:space="preserve"> for the purpose of this report. Even if </w:t>
          </w:r>
          <w:r w:rsidR="009C39E2" w:rsidRPr="000D4A19">
            <w:rPr>
              <w:rFonts w:cstheme="minorHAnsi"/>
              <w:sz w:val="24"/>
              <w:szCs w:val="24"/>
              <w:lang w:val="en-GB"/>
            </w:rPr>
            <w:t xml:space="preserve">these positions </w:t>
          </w:r>
          <w:r w:rsidR="00963B47" w:rsidRPr="000D4A19">
            <w:rPr>
              <w:rFonts w:cstheme="minorHAnsi"/>
              <w:sz w:val="24"/>
              <w:szCs w:val="24"/>
              <w:lang w:val="en-GB"/>
            </w:rPr>
            <w:t>may (and often do) change upon a new government or minister coming to power, they are clearly civil service positions (to which</w:t>
          </w:r>
          <w:r w:rsidR="00645C71" w:rsidRPr="000D4A19">
            <w:rPr>
              <w:rFonts w:cstheme="minorHAnsi"/>
              <w:sz w:val="24"/>
              <w:szCs w:val="24"/>
              <w:lang w:val="en-GB"/>
            </w:rPr>
            <w:t xml:space="preserve"> the</w:t>
          </w:r>
          <w:r w:rsidR="00963B47" w:rsidRPr="000D4A19">
            <w:rPr>
              <w:rFonts w:cstheme="minorHAnsi"/>
              <w:sz w:val="24"/>
              <w:szCs w:val="24"/>
              <w:lang w:val="en-GB"/>
            </w:rPr>
            <w:t xml:space="preserve"> integrity and other requirements of the Civil Servants Act apply), filled following a public competition. It cannot be said that persons in these positions actively participate on a regular basis in the development and/or the execution of governmental functions. </w:t>
          </w:r>
        </w:p>
        <w:p w14:paraId="55764B87" w14:textId="77777777" w:rsidR="00CD5BB3" w:rsidRPr="000D4A19" w:rsidRDefault="00CD5BB3" w:rsidP="004B7CAB">
          <w:pPr>
            <w:tabs>
              <w:tab w:val="left" w:pos="709"/>
            </w:tabs>
            <w:spacing w:after="0" w:line="240" w:lineRule="auto"/>
            <w:jc w:val="both"/>
            <w:rPr>
              <w:rFonts w:cstheme="minorHAnsi"/>
              <w:sz w:val="24"/>
              <w:szCs w:val="24"/>
              <w:lang w:val="en-GB"/>
            </w:rPr>
          </w:pPr>
        </w:p>
        <w:p w14:paraId="62169B17" w14:textId="539C2402" w:rsidR="00AA4562" w:rsidRPr="000D4A19" w:rsidRDefault="009919AC" w:rsidP="004B7CAB">
          <w:pPr>
            <w:numPr>
              <w:ilvl w:val="0"/>
              <w:numId w:val="1"/>
            </w:numPr>
            <w:tabs>
              <w:tab w:val="left" w:pos="709"/>
              <w:tab w:val="num" w:pos="1557"/>
              <w:tab w:val="num" w:pos="4679"/>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In addition, in accordance with Article 23 of the Law on Government, the Prime Minister may appoint </w:t>
          </w:r>
          <w:r w:rsidRPr="000D4A19">
            <w:rPr>
              <w:rFonts w:cstheme="minorHAnsi"/>
              <w:sz w:val="24"/>
              <w:szCs w:val="24"/>
              <w:u w:val="single"/>
              <w:lang w:val="en-GB"/>
            </w:rPr>
            <w:t>advisers</w:t>
          </w:r>
          <w:r w:rsidRPr="000D4A19">
            <w:rPr>
              <w:rFonts w:cstheme="minorHAnsi"/>
              <w:sz w:val="24"/>
              <w:szCs w:val="24"/>
              <w:lang w:val="en-GB"/>
            </w:rPr>
            <w:t xml:space="preserve">, </w:t>
          </w:r>
          <w:r w:rsidRPr="000D4A19">
            <w:rPr>
              <w:rFonts w:cstheme="minorHAnsi"/>
              <w:sz w:val="24"/>
              <w:szCs w:val="24"/>
              <w:u w:val="single"/>
              <w:lang w:val="en-GB"/>
            </w:rPr>
            <w:t>special advisers</w:t>
          </w:r>
          <w:r w:rsidRPr="000D4A19">
            <w:rPr>
              <w:rFonts w:cstheme="minorHAnsi"/>
              <w:sz w:val="24"/>
              <w:szCs w:val="24"/>
              <w:lang w:val="en-GB"/>
            </w:rPr>
            <w:t xml:space="preserve"> or </w:t>
          </w:r>
          <w:r w:rsidRPr="002B24B1">
            <w:rPr>
              <w:rFonts w:cstheme="minorHAnsi"/>
              <w:sz w:val="24"/>
              <w:szCs w:val="24"/>
              <w:u w:val="single"/>
              <w:lang w:val="en-GB"/>
            </w:rPr>
            <w:t>councils</w:t>
          </w:r>
          <w:r w:rsidRPr="000D4A19">
            <w:rPr>
              <w:rFonts w:cstheme="minorHAnsi"/>
              <w:sz w:val="24"/>
              <w:szCs w:val="24"/>
              <w:lang w:val="en-GB"/>
            </w:rPr>
            <w:t xml:space="preserve"> (</w:t>
          </w:r>
          <w:r w:rsidRPr="00CC7AD8">
            <w:rPr>
              <w:rFonts w:cstheme="minorHAnsi"/>
              <w:sz w:val="24"/>
              <w:szCs w:val="24"/>
              <w:lang w:val="en-GB"/>
            </w:rPr>
            <w:t>council members</w:t>
          </w:r>
          <w:r w:rsidRPr="000D4A19">
            <w:rPr>
              <w:rFonts w:cstheme="minorHAnsi"/>
              <w:sz w:val="24"/>
              <w:szCs w:val="24"/>
              <w:lang w:val="en-GB"/>
            </w:rPr>
            <w:t>), for the duration of the term of office of the Prime Minister or for a certain period of time as the nature of the work require</w:t>
          </w:r>
          <w:r w:rsidR="00507B92" w:rsidRPr="000D4A19">
            <w:rPr>
              <w:rFonts w:cstheme="minorHAnsi"/>
              <w:sz w:val="24"/>
              <w:szCs w:val="24"/>
              <w:lang w:val="en-GB"/>
            </w:rPr>
            <w:t>s</w:t>
          </w:r>
          <w:r w:rsidRPr="000D4A19">
            <w:rPr>
              <w:rFonts w:cstheme="minorHAnsi"/>
              <w:sz w:val="24"/>
              <w:szCs w:val="24"/>
              <w:lang w:val="en-GB"/>
            </w:rPr>
            <w:t>.</w:t>
          </w:r>
          <w:r w:rsidR="007F7AA4" w:rsidRPr="000D4A19">
            <w:rPr>
              <w:rFonts w:cstheme="minorHAnsi"/>
              <w:sz w:val="24"/>
              <w:szCs w:val="24"/>
              <w:lang w:val="en-GB"/>
            </w:rPr>
            <w:t xml:space="preserve"> Advisers are recruited following a public competition</w:t>
          </w:r>
          <w:r w:rsidR="00E86F12">
            <w:rPr>
              <w:rFonts w:cstheme="minorHAnsi"/>
              <w:sz w:val="24"/>
              <w:szCs w:val="24"/>
              <w:lang w:val="en-GB"/>
            </w:rPr>
            <w:t xml:space="preserve"> and </w:t>
          </w:r>
          <w:r w:rsidR="00601A24" w:rsidRPr="000D4A19">
            <w:rPr>
              <w:rFonts w:cstheme="minorHAnsi"/>
              <w:sz w:val="24"/>
              <w:szCs w:val="24"/>
              <w:lang w:val="en-GB"/>
            </w:rPr>
            <w:t>are civil servants (and are thus subject to t</w:t>
          </w:r>
          <w:r w:rsidR="00C16423" w:rsidRPr="000D4A19">
            <w:rPr>
              <w:rFonts w:cstheme="minorHAnsi"/>
              <w:sz w:val="24"/>
              <w:szCs w:val="24"/>
              <w:lang w:val="en-GB"/>
            </w:rPr>
            <w:t>he provisions of the Civil Serv</w:t>
          </w:r>
          <w:r w:rsidR="005719C8" w:rsidRPr="000D4A19">
            <w:rPr>
              <w:rFonts w:cstheme="minorHAnsi"/>
              <w:sz w:val="24"/>
              <w:szCs w:val="24"/>
              <w:lang w:val="en-GB"/>
            </w:rPr>
            <w:t xml:space="preserve">ants </w:t>
          </w:r>
          <w:r w:rsidR="00C16423" w:rsidRPr="000D4A19">
            <w:rPr>
              <w:rFonts w:cstheme="minorHAnsi"/>
              <w:sz w:val="24"/>
              <w:szCs w:val="24"/>
              <w:lang w:val="en-GB"/>
            </w:rPr>
            <w:t xml:space="preserve">Act and the </w:t>
          </w:r>
          <w:r w:rsidR="005719C8" w:rsidRPr="000D4A19">
            <w:rPr>
              <w:rFonts w:cstheme="minorHAnsi"/>
              <w:sz w:val="24"/>
              <w:szCs w:val="24"/>
              <w:lang w:val="en-GB"/>
            </w:rPr>
            <w:t>C</w:t>
          </w:r>
          <w:r w:rsidR="00C16423" w:rsidRPr="000D4A19">
            <w:rPr>
              <w:rFonts w:cstheme="minorHAnsi"/>
              <w:sz w:val="24"/>
              <w:szCs w:val="24"/>
              <w:lang w:val="en-GB"/>
            </w:rPr>
            <w:t xml:space="preserve">ode of </w:t>
          </w:r>
          <w:r w:rsidR="005719C8" w:rsidRPr="000D4A19">
            <w:rPr>
              <w:rFonts w:cstheme="minorHAnsi"/>
              <w:sz w:val="24"/>
              <w:szCs w:val="24"/>
              <w:lang w:val="en-GB"/>
            </w:rPr>
            <w:t>E</w:t>
          </w:r>
          <w:r w:rsidR="00C16423" w:rsidRPr="000D4A19">
            <w:rPr>
              <w:rFonts w:cstheme="minorHAnsi"/>
              <w:sz w:val="24"/>
              <w:szCs w:val="24"/>
              <w:lang w:val="en-GB"/>
            </w:rPr>
            <w:t xml:space="preserve">thics for </w:t>
          </w:r>
          <w:r w:rsidR="005719C8" w:rsidRPr="000D4A19">
            <w:rPr>
              <w:rFonts w:cstheme="minorHAnsi"/>
              <w:sz w:val="24"/>
              <w:szCs w:val="24"/>
              <w:lang w:val="en-GB"/>
            </w:rPr>
            <w:t>C</w:t>
          </w:r>
          <w:r w:rsidR="00C16423" w:rsidRPr="000D4A19">
            <w:rPr>
              <w:rFonts w:cstheme="minorHAnsi"/>
              <w:sz w:val="24"/>
              <w:szCs w:val="24"/>
              <w:lang w:val="en-GB"/>
            </w:rPr>
            <w:t xml:space="preserve">ivil </w:t>
          </w:r>
          <w:r w:rsidR="002D26A4" w:rsidRPr="000D4A19">
            <w:rPr>
              <w:rFonts w:cstheme="minorHAnsi"/>
              <w:sz w:val="24"/>
              <w:szCs w:val="24"/>
              <w:lang w:val="en-GB"/>
            </w:rPr>
            <w:t>S</w:t>
          </w:r>
          <w:r w:rsidR="00C16423" w:rsidRPr="000D4A19">
            <w:rPr>
              <w:rFonts w:cstheme="minorHAnsi"/>
              <w:sz w:val="24"/>
              <w:szCs w:val="24"/>
              <w:lang w:val="en-GB"/>
            </w:rPr>
            <w:t xml:space="preserve">ervants). The legal status of </w:t>
          </w:r>
          <w:r w:rsidR="00601A24" w:rsidRPr="000D4A19">
            <w:rPr>
              <w:rFonts w:cstheme="minorHAnsi"/>
              <w:sz w:val="24"/>
              <w:szCs w:val="24"/>
              <w:lang w:val="en-GB"/>
            </w:rPr>
            <w:t xml:space="preserve">special </w:t>
          </w:r>
          <w:r w:rsidR="00C16423" w:rsidRPr="000D4A19">
            <w:rPr>
              <w:rFonts w:cstheme="minorHAnsi"/>
              <w:sz w:val="24"/>
              <w:szCs w:val="24"/>
              <w:lang w:val="en-GB"/>
            </w:rPr>
            <w:t>advisers on the other hand</w:t>
          </w:r>
          <w:r w:rsidR="00655DAE" w:rsidRPr="000D4A19">
            <w:rPr>
              <w:rFonts w:cstheme="minorHAnsi"/>
              <w:sz w:val="24"/>
              <w:szCs w:val="24"/>
              <w:lang w:val="en-GB"/>
            </w:rPr>
            <w:t xml:space="preserve"> </w:t>
          </w:r>
          <w:r w:rsidR="00C16423" w:rsidRPr="000D4A19">
            <w:rPr>
              <w:rFonts w:cstheme="minorHAnsi"/>
              <w:sz w:val="24"/>
              <w:szCs w:val="24"/>
              <w:lang w:val="en-GB"/>
            </w:rPr>
            <w:t xml:space="preserve">is less clear: they </w:t>
          </w:r>
          <w:r w:rsidR="002D26A4" w:rsidRPr="000D4A19">
            <w:rPr>
              <w:rFonts w:cstheme="minorHAnsi"/>
              <w:sz w:val="24"/>
              <w:szCs w:val="24"/>
              <w:lang w:val="en-GB"/>
            </w:rPr>
            <w:t xml:space="preserve">can be hand-picked, </w:t>
          </w:r>
          <w:r w:rsidR="00C16423" w:rsidRPr="000D4A19">
            <w:rPr>
              <w:rFonts w:cstheme="minorHAnsi"/>
              <w:sz w:val="24"/>
              <w:szCs w:val="24"/>
              <w:lang w:val="en-GB"/>
            </w:rPr>
            <w:t>do not fall withi</w:t>
          </w:r>
          <w:r w:rsidR="00645C71" w:rsidRPr="000D4A19">
            <w:rPr>
              <w:rFonts w:cstheme="minorHAnsi"/>
              <w:sz w:val="24"/>
              <w:szCs w:val="24"/>
              <w:lang w:val="en-GB"/>
            </w:rPr>
            <w:t>n the remit of the Civil Servants</w:t>
          </w:r>
          <w:r w:rsidR="00C16423" w:rsidRPr="000D4A19">
            <w:rPr>
              <w:rFonts w:cstheme="minorHAnsi"/>
              <w:sz w:val="24"/>
              <w:szCs w:val="24"/>
              <w:lang w:val="en-GB"/>
            </w:rPr>
            <w:t xml:space="preserve"> Act</w:t>
          </w:r>
          <w:r w:rsidR="00760D72" w:rsidRPr="000D4A19">
            <w:rPr>
              <w:rFonts w:cstheme="minorHAnsi"/>
              <w:sz w:val="24"/>
              <w:szCs w:val="24"/>
              <w:lang w:val="en-GB"/>
            </w:rPr>
            <w:t xml:space="preserve">, nor </w:t>
          </w:r>
          <w:r w:rsidR="00C16423" w:rsidRPr="000D4A19">
            <w:rPr>
              <w:rFonts w:cstheme="minorHAnsi"/>
              <w:sz w:val="24"/>
              <w:szCs w:val="24"/>
              <w:lang w:val="en-GB"/>
            </w:rPr>
            <w:t xml:space="preserve">are </w:t>
          </w:r>
          <w:r w:rsidR="00760D72" w:rsidRPr="000D4A19">
            <w:rPr>
              <w:rFonts w:cstheme="minorHAnsi"/>
              <w:sz w:val="24"/>
              <w:szCs w:val="24"/>
              <w:lang w:val="en-GB"/>
            </w:rPr>
            <w:t xml:space="preserve">they </w:t>
          </w:r>
          <w:r w:rsidR="00C16423" w:rsidRPr="000D4A19">
            <w:rPr>
              <w:rFonts w:cstheme="minorHAnsi"/>
              <w:sz w:val="24"/>
              <w:szCs w:val="24"/>
              <w:lang w:val="en-GB"/>
            </w:rPr>
            <w:t xml:space="preserve">– for example – subject to </w:t>
          </w:r>
          <w:r w:rsidR="005E63F9" w:rsidRPr="000D4A19">
            <w:rPr>
              <w:rFonts w:cstheme="minorHAnsi"/>
              <w:sz w:val="24"/>
              <w:szCs w:val="24"/>
              <w:lang w:val="en-GB"/>
            </w:rPr>
            <w:t xml:space="preserve">other </w:t>
          </w:r>
          <w:r w:rsidR="00C16423" w:rsidRPr="000D4A19">
            <w:rPr>
              <w:rFonts w:cstheme="minorHAnsi"/>
              <w:sz w:val="24"/>
              <w:szCs w:val="24"/>
              <w:lang w:val="en-GB"/>
            </w:rPr>
            <w:t>legislation applying</w:t>
          </w:r>
          <w:r w:rsidR="005E63F9" w:rsidRPr="000D4A19">
            <w:rPr>
              <w:rFonts w:cstheme="minorHAnsi"/>
              <w:sz w:val="24"/>
              <w:szCs w:val="24"/>
              <w:lang w:val="en-GB"/>
            </w:rPr>
            <w:t xml:space="preserve"> </w:t>
          </w:r>
          <w:r w:rsidR="00760D72" w:rsidRPr="000D4A19">
            <w:rPr>
              <w:rFonts w:cstheme="minorHAnsi"/>
              <w:sz w:val="24"/>
              <w:szCs w:val="24"/>
              <w:lang w:val="en-GB"/>
            </w:rPr>
            <w:t xml:space="preserve">to </w:t>
          </w:r>
          <w:r w:rsidR="005E63F9" w:rsidRPr="000D4A19">
            <w:rPr>
              <w:rFonts w:cstheme="minorHAnsi"/>
              <w:sz w:val="24"/>
              <w:szCs w:val="24"/>
              <w:lang w:val="en-GB"/>
            </w:rPr>
            <w:t>state officials</w:t>
          </w:r>
          <w:r w:rsidR="00C16423" w:rsidRPr="000D4A19">
            <w:rPr>
              <w:rFonts w:cstheme="minorHAnsi"/>
              <w:sz w:val="24"/>
              <w:szCs w:val="24"/>
              <w:lang w:val="en-GB"/>
            </w:rPr>
            <w:t xml:space="preserve">, such as the Law on </w:t>
          </w:r>
          <w:r w:rsidR="00E7251E" w:rsidRPr="000D4A19">
            <w:rPr>
              <w:rFonts w:cstheme="minorHAnsi"/>
              <w:sz w:val="24"/>
              <w:szCs w:val="24"/>
              <w:lang w:val="en-GB"/>
            </w:rPr>
            <w:t xml:space="preserve">the Prevention of </w:t>
          </w:r>
          <w:r w:rsidR="00C16423" w:rsidRPr="000D4A19">
            <w:rPr>
              <w:rFonts w:cstheme="minorHAnsi"/>
              <w:sz w:val="24"/>
              <w:szCs w:val="24"/>
              <w:lang w:val="en-GB"/>
            </w:rPr>
            <w:t xml:space="preserve">Conflicts of Interest. </w:t>
          </w:r>
          <w:r w:rsidR="00AA4562" w:rsidRPr="000D4A19">
            <w:rPr>
              <w:rFonts w:cstheme="minorHAnsi"/>
              <w:sz w:val="24"/>
              <w:szCs w:val="24"/>
              <w:lang w:val="en-GB"/>
            </w:rPr>
            <w:t xml:space="preserve">The Prime Minister’s Office, the President’s Office and individual ministers may appoint special advisers at their discretion, without any </w:t>
          </w:r>
          <w:r w:rsidR="00E86F12">
            <w:rPr>
              <w:rFonts w:cstheme="minorHAnsi"/>
              <w:sz w:val="24"/>
              <w:szCs w:val="24"/>
              <w:lang w:val="en-GB"/>
            </w:rPr>
            <w:t>integrity</w:t>
          </w:r>
          <w:r w:rsidR="00AA4562" w:rsidRPr="000D4A19">
            <w:rPr>
              <w:rFonts w:cstheme="minorHAnsi"/>
              <w:sz w:val="24"/>
              <w:szCs w:val="24"/>
              <w:lang w:val="en-GB"/>
            </w:rPr>
            <w:t xml:space="preserve"> checks. </w:t>
          </w:r>
          <w:r w:rsidR="00310B33" w:rsidRPr="000D4A19">
            <w:rPr>
              <w:rFonts w:cstheme="minorHAnsi"/>
              <w:sz w:val="24"/>
              <w:szCs w:val="24"/>
              <w:lang w:val="en-GB"/>
            </w:rPr>
            <w:t xml:space="preserve"> As for councils and their members, the GET was informed that</w:t>
          </w:r>
          <w:r w:rsidR="00CF0970" w:rsidRPr="000D4A19">
            <w:rPr>
              <w:rFonts w:cstheme="minorHAnsi"/>
              <w:sz w:val="24"/>
              <w:szCs w:val="24"/>
              <w:lang w:val="en-GB"/>
            </w:rPr>
            <w:t>,</w:t>
          </w:r>
          <w:r w:rsidR="00310B33" w:rsidRPr="000D4A19">
            <w:rPr>
              <w:rFonts w:cstheme="minorHAnsi"/>
              <w:sz w:val="24"/>
              <w:szCs w:val="24"/>
              <w:lang w:val="en-GB"/>
            </w:rPr>
            <w:t xml:space="preserve"> even if Article 23 of the Law on Government provides for this possibility, to date no such councils have been established at the level of the government. </w:t>
          </w:r>
        </w:p>
        <w:p w14:paraId="710A34DD" w14:textId="77777777" w:rsidR="00AA4562" w:rsidRPr="000D4A19" w:rsidRDefault="00AA4562" w:rsidP="00AA4562">
          <w:pPr>
            <w:tabs>
              <w:tab w:val="num" w:pos="4679"/>
            </w:tabs>
            <w:spacing w:after="0" w:line="240" w:lineRule="auto"/>
            <w:jc w:val="both"/>
            <w:rPr>
              <w:rFonts w:cstheme="minorHAnsi"/>
              <w:sz w:val="24"/>
              <w:szCs w:val="24"/>
              <w:lang w:val="en-GB"/>
            </w:rPr>
          </w:pPr>
        </w:p>
        <w:p w14:paraId="7BB7D5F9" w14:textId="6E608EC1" w:rsidR="00880843" w:rsidRPr="000D4A19" w:rsidRDefault="00C16423" w:rsidP="00880843">
          <w:pPr>
            <w:numPr>
              <w:ilvl w:val="0"/>
              <w:numId w:val="1"/>
            </w:numPr>
            <w:tabs>
              <w:tab w:val="left" w:pos="709"/>
              <w:tab w:val="num" w:pos="1557"/>
              <w:tab w:val="num" w:pos="4679"/>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Various interlocutors pointed out during the on-site visit that the position of special advisor is not particularly sought-after. Special advisors are usually </w:t>
          </w:r>
          <w:r w:rsidR="00AA4562" w:rsidRPr="000D4A19">
            <w:rPr>
              <w:rFonts w:cstheme="minorHAnsi"/>
              <w:sz w:val="24"/>
              <w:szCs w:val="24"/>
              <w:lang w:val="en-GB"/>
            </w:rPr>
            <w:t>hired for a specific task for a certain period of time</w:t>
          </w:r>
          <w:r w:rsidR="00E86F12">
            <w:rPr>
              <w:rFonts w:cstheme="minorHAnsi"/>
              <w:sz w:val="24"/>
              <w:szCs w:val="24"/>
              <w:lang w:val="en-GB"/>
            </w:rPr>
            <w:t xml:space="preserve"> (for example, to provide a specific expertise or to lead an EU-funded project)</w:t>
          </w:r>
          <w:r w:rsidR="00AA4562" w:rsidRPr="000D4A19">
            <w:rPr>
              <w:rFonts w:cstheme="minorHAnsi"/>
              <w:sz w:val="24"/>
              <w:szCs w:val="24"/>
              <w:lang w:val="en-GB"/>
            </w:rPr>
            <w:t xml:space="preserve">, </w:t>
          </w:r>
          <w:r w:rsidR="00897020" w:rsidRPr="000D4A19">
            <w:rPr>
              <w:rFonts w:cstheme="minorHAnsi"/>
              <w:sz w:val="24"/>
              <w:szCs w:val="24"/>
              <w:lang w:val="en-GB"/>
            </w:rPr>
            <w:t>like consultants</w:t>
          </w:r>
          <w:r w:rsidR="00E86F12">
            <w:rPr>
              <w:rFonts w:cstheme="minorHAnsi"/>
              <w:sz w:val="24"/>
              <w:szCs w:val="24"/>
              <w:lang w:val="en-GB"/>
            </w:rPr>
            <w:t xml:space="preserve"> (</w:t>
          </w:r>
          <w:r w:rsidR="00897020" w:rsidRPr="000D4A19">
            <w:rPr>
              <w:rFonts w:cstheme="minorHAnsi"/>
              <w:sz w:val="24"/>
              <w:szCs w:val="24"/>
              <w:lang w:val="en-GB"/>
            </w:rPr>
            <w:t xml:space="preserve">but </w:t>
          </w:r>
          <w:r w:rsidR="00C3336E" w:rsidRPr="000D4A19">
            <w:rPr>
              <w:rFonts w:cstheme="minorHAnsi"/>
              <w:sz w:val="24"/>
              <w:szCs w:val="24"/>
              <w:lang w:val="en-GB"/>
            </w:rPr>
            <w:t xml:space="preserve">paid much </w:t>
          </w:r>
          <w:r w:rsidR="00897020" w:rsidRPr="000D4A19">
            <w:rPr>
              <w:rFonts w:cstheme="minorHAnsi"/>
              <w:sz w:val="24"/>
              <w:szCs w:val="24"/>
              <w:lang w:val="en-GB"/>
            </w:rPr>
            <w:t>less</w:t>
          </w:r>
          <w:r w:rsidR="00E86F12">
            <w:rPr>
              <w:rFonts w:cstheme="minorHAnsi"/>
              <w:sz w:val="24"/>
              <w:szCs w:val="24"/>
              <w:lang w:val="en-GB"/>
            </w:rPr>
            <w:t>)</w:t>
          </w:r>
          <w:r w:rsidR="00AA4562" w:rsidRPr="000D4A19">
            <w:rPr>
              <w:rFonts w:cstheme="minorHAnsi"/>
              <w:sz w:val="24"/>
              <w:szCs w:val="24"/>
              <w:lang w:val="en-GB"/>
            </w:rPr>
            <w:t>. In March 2018, there were 29 special advisers across the government, some of wh</w:t>
          </w:r>
          <w:r w:rsidR="00760D72" w:rsidRPr="000D4A19">
            <w:rPr>
              <w:rFonts w:cstheme="minorHAnsi"/>
              <w:sz w:val="24"/>
              <w:szCs w:val="24"/>
              <w:lang w:val="en-GB"/>
            </w:rPr>
            <w:t>om</w:t>
          </w:r>
          <w:r w:rsidR="00AA4562" w:rsidRPr="000D4A19">
            <w:rPr>
              <w:rFonts w:cstheme="minorHAnsi"/>
              <w:sz w:val="24"/>
              <w:szCs w:val="24"/>
              <w:lang w:val="en-GB"/>
            </w:rPr>
            <w:t xml:space="preserve"> worked </w:t>
          </w:r>
          <w:r w:rsidR="00AA4562" w:rsidRPr="00E86F12">
            <w:rPr>
              <w:rFonts w:cstheme="minorHAnsi"/>
              <w:i/>
              <w:sz w:val="24"/>
              <w:szCs w:val="24"/>
              <w:lang w:val="en-GB"/>
            </w:rPr>
            <w:t>pro bono</w:t>
          </w:r>
          <w:r w:rsidR="00AA4562" w:rsidRPr="000D4A19">
            <w:rPr>
              <w:rFonts w:cstheme="minorHAnsi"/>
              <w:sz w:val="24"/>
              <w:szCs w:val="24"/>
              <w:lang w:val="en-GB"/>
            </w:rPr>
            <w:t xml:space="preserve"> and others received remuneration between 2.000 to 10.000 HRK</w:t>
          </w:r>
          <w:r w:rsidR="0092501F" w:rsidRPr="000D4A19">
            <w:rPr>
              <w:rFonts w:cstheme="minorHAnsi"/>
              <w:sz w:val="24"/>
              <w:szCs w:val="24"/>
              <w:lang w:val="en-GB"/>
            </w:rPr>
            <w:t xml:space="preserve"> for a specific task or period of time</w:t>
          </w:r>
          <w:r w:rsidR="00AA4562" w:rsidRPr="000D4A19">
            <w:rPr>
              <w:rFonts w:cstheme="minorHAnsi"/>
              <w:sz w:val="24"/>
              <w:szCs w:val="24"/>
              <w:lang w:val="en-GB"/>
            </w:rPr>
            <w:t xml:space="preserve"> (approximately 270 to 1.350 EUR)</w:t>
          </w:r>
          <w:r w:rsidR="00C422D0" w:rsidRPr="000D4A19">
            <w:rPr>
              <w:rFonts w:cstheme="minorHAnsi"/>
              <w:sz w:val="24"/>
              <w:szCs w:val="24"/>
              <w:lang w:val="en-GB"/>
            </w:rPr>
            <w:t>, sometimes combining this with their other, more regular job</w:t>
          </w:r>
          <w:r w:rsidR="00AA4562" w:rsidRPr="000D4A19">
            <w:rPr>
              <w:rFonts w:cstheme="minorHAnsi"/>
              <w:sz w:val="24"/>
              <w:szCs w:val="24"/>
              <w:lang w:val="en-GB"/>
            </w:rPr>
            <w:t>.</w:t>
          </w:r>
          <w:r w:rsidR="00897020" w:rsidRPr="000D4A19">
            <w:rPr>
              <w:rStyle w:val="Referencafusnote"/>
              <w:rFonts w:cstheme="minorHAnsi"/>
              <w:sz w:val="24"/>
              <w:szCs w:val="24"/>
              <w:lang w:val="en-GB"/>
            </w:rPr>
            <w:footnoteReference w:id="22"/>
          </w:r>
          <w:r w:rsidR="00AA4562" w:rsidRPr="000D4A19">
            <w:rPr>
              <w:rFonts w:cstheme="minorHAnsi"/>
              <w:sz w:val="24"/>
              <w:szCs w:val="24"/>
              <w:lang w:val="en-GB"/>
            </w:rPr>
            <w:t xml:space="preserve"> </w:t>
          </w:r>
          <w:r w:rsidR="0092501F" w:rsidRPr="000D4A19">
            <w:rPr>
              <w:rFonts w:cstheme="minorHAnsi"/>
              <w:sz w:val="24"/>
              <w:szCs w:val="24"/>
              <w:lang w:val="en-GB"/>
            </w:rPr>
            <w:t>Further regulation of their legal status and obligations seemed for these reasons (</w:t>
          </w:r>
          <w:r w:rsidR="00FE45DF" w:rsidRPr="000D4A19">
            <w:rPr>
              <w:rFonts w:cstheme="minorHAnsi"/>
              <w:sz w:val="24"/>
              <w:szCs w:val="24"/>
              <w:lang w:val="en-GB"/>
            </w:rPr>
            <w:t xml:space="preserve">i.e. </w:t>
          </w:r>
          <w:r w:rsidR="0092501F" w:rsidRPr="000D4A19">
            <w:rPr>
              <w:rFonts w:cstheme="minorHAnsi"/>
              <w:sz w:val="24"/>
              <w:szCs w:val="24"/>
              <w:lang w:val="en-GB"/>
            </w:rPr>
            <w:t xml:space="preserve">the low remuneration and lack of popularity of these positions) to be regarded as heavy-handedness. However, in the opinion of the GET </w:t>
          </w:r>
          <w:r w:rsidR="002D26A4" w:rsidRPr="000D4A19">
            <w:rPr>
              <w:rFonts w:cstheme="minorHAnsi"/>
              <w:sz w:val="24"/>
              <w:szCs w:val="24"/>
              <w:lang w:val="en-GB"/>
            </w:rPr>
            <w:t>there are clear</w:t>
          </w:r>
          <w:r w:rsidR="00DC45BB" w:rsidRPr="000D4A19">
            <w:rPr>
              <w:rFonts w:cstheme="minorHAnsi"/>
              <w:sz w:val="24"/>
              <w:szCs w:val="24"/>
              <w:lang w:val="en-GB"/>
            </w:rPr>
            <w:t xml:space="preserve">ly </w:t>
          </w:r>
          <w:r w:rsidR="00F03832" w:rsidRPr="000D4A19">
            <w:rPr>
              <w:rFonts w:cstheme="minorHAnsi"/>
              <w:sz w:val="24"/>
              <w:szCs w:val="24"/>
              <w:lang w:val="en-GB"/>
            </w:rPr>
            <w:t xml:space="preserve">issues at stake </w:t>
          </w:r>
          <w:r w:rsidR="00E16347" w:rsidRPr="000D4A19">
            <w:rPr>
              <w:rFonts w:cstheme="minorHAnsi"/>
              <w:sz w:val="24"/>
              <w:szCs w:val="24"/>
              <w:lang w:val="en-GB"/>
            </w:rPr>
            <w:t xml:space="preserve">in Croatia </w:t>
          </w:r>
          <w:r w:rsidR="00F03832" w:rsidRPr="000D4A19">
            <w:rPr>
              <w:rFonts w:cstheme="minorHAnsi"/>
              <w:sz w:val="24"/>
              <w:szCs w:val="24"/>
              <w:lang w:val="en-GB"/>
            </w:rPr>
            <w:t xml:space="preserve">with </w:t>
          </w:r>
          <w:r w:rsidR="007314F0" w:rsidRPr="000D4A19">
            <w:rPr>
              <w:rFonts w:cstheme="minorHAnsi"/>
              <w:sz w:val="24"/>
              <w:szCs w:val="24"/>
              <w:lang w:val="en-GB"/>
            </w:rPr>
            <w:t xml:space="preserve">certain </w:t>
          </w:r>
          <w:r w:rsidR="00F03832" w:rsidRPr="000D4A19">
            <w:rPr>
              <w:rFonts w:cstheme="minorHAnsi"/>
              <w:sz w:val="24"/>
              <w:szCs w:val="24"/>
              <w:lang w:val="en-GB"/>
            </w:rPr>
            <w:t>work being carried out in an unregulated capacity for the government</w:t>
          </w:r>
          <w:r w:rsidR="002B2403" w:rsidRPr="000D4A19">
            <w:rPr>
              <w:rFonts w:cstheme="minorHAnsi"/>
              <w:sz w:val="24"/>
              <w:szCs w:val="24"/>
              <w:lang w:val="en-GB"/>
            </w:rPr>
            <w:t>.</w:t>
          </w:r>
          <w:r w:rsidR="00E16347" w:rsidRPr="000D4A19">
            <w:rPr>
              <w:rStyle w:val="Referencafusnote"/>
              <w:rFonts w:cstheme="minorHAnsi"/>
              <w:sz w:val="24"/>
              <w:szCs w:val="24"/>
              <w:lang w:val="en-GB"/>
            </w:rPr>
            <w:footnoteReference w:id="23"/>
          </w:r>
          <w:r w:rsidR="001002BD" w:rsidRPr="000D4A19">
            <w:rPr>
              <w:rFonts w:cstheme="minorHAnsi"/>
              <w:sz w:val="24"/>
              <w:szCs w:val="24"/>
              <w:lang w:val="en-GB"/>
            </w:rPr>
            <w:t xml:space="preserve"> </w:t>
          </w:r>
        </w:p>
        <w:p w14:paraId="3C574162" w14:textId="77777777" w:rsidR="00880843" w:rsidRPr="000D4A19" w:rsidRDefault="00880843" w:rsidP="00880843">
          <w:pPr>
            <w:tabs>
              <w:tab w:val="left" w:pos="709"/>
              <w:tab w:val="num" w:pos="1557"/>
              <w:tab w:val="num" w:pos="4679"/>
            </w:tabs>
            <w:spacing w:after="0" w:line="240" w:lineRule="auto"/>
            <w:jc w:val="both"/>
            <w:rPr>
              <w:rFonts w:cstheme="minorHAnsi"/>
              <w:sz w:val="24"/>
              <w:szCs w:val="24"/>
              <w:lang w:val="en-GB"/>
            </w:rPr>
          </w:pPr>
        </w:p>
        <w:p w14:paraId="187E3FE2" w14:textId="664949C3" w:rsidR="002F3A7E" w:rsidRPr="000D4A19" w:rsidRDefault="00921931" w:rsidP="002F3A7E">
          <w:pPr>
            <w:numPr>
              <w:ilvl w:val="0"/>
              <w:numId w:val="1"/>
            </w:numPr>
            <w:tabs>
              <w:tab w:val="left" w:pos="709"/>
              <w:tab w:val="num" w:pos="1557"/>
              <w:tab w:val="num" w:pos="4679"/>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The GET understands </w:t>
          </w:r>
          <w:r w:rsidR="00981699" w:rsidRPr="000D4A19">
            <w:rPr>
              <w:rFonts w:cstheme="minorHAnsi"/>
              <w:sz w:val="24"/>
              <w:szCs w:val="24"/>
              <w:lang w:val="en-GB"/>
            </w:rPr>
            <w:t xml:space="preserve">that </w:t>
          </w:r>
          <w:r w:rsidRPr="000D4A19">
            <w:rPr>
              <w:rFonts w:cstheme="minorHAnsi"/>
              <w:sz w:val="24"/>
              <w:szCs w:val="24"/>
              <w:lang w:val="en-GB"/>
            </w:rPr>
            <w:t xml:space="preserve">a certain amount of </w:t>
          </w:r>
          <w:r w:rsidR="00981699" w:rsidRPr="000D4A19">
            <w:rPr>
              <w:rFonts w:cstheme="minorHAnsi"/>
              <w:sz w:val="24"/>
              <w:szCs w:val="24"/>
              <w:lang w:val="en-GB"/>
            </w:rPr>
            <w:t xml:space="preserve">flexibility should be preserved </w:t>
          </w:r>
          <w:r w:rsidR="004B0860" w:rsidRPr="000D4A19">
            <w:rPr>
              <w:rFonts w:cstheme="minorHAnsi"/>
              <w:sz w:val="24"/>
              <w:szCs w:val="24"/>
              <w:lang w:val="en-GB"/>
            </w:rPr>
            <w:t xml:space="preserve">regarding </w:t>
          </w:r>
          <w:r w:rsidR="00981699" w:rsidRPr="000D4A19">
            <w:rPr>
              <w:rFonts w:cstheme="minorHAnsi"/>
              <w:sz w:val="24"/>
              <w:szCs w:val="24"/>
              <w:lang w:val="en-GB"/>
            </w:rPr>
            <w:t xml:space="preserve">the conditions of recruitment and work of special advisers and other consultants </w:t>
          </w:r>
          <w:r w:rsidRPr="000D4A19">
            <w:rPr>
              <w:rFonts w:cstheme="minorHAnsi"/>
              <w:sz w:val="24"/>
              <w:szCs w:val="24"/>
              <w:lang w:val="en-GB"/>
            </w:rPr>
            <w:t>of the government</w:t>
          </w:r>
          <w:r w:rsidR="002F3A7E" w:rsidRPr="000D4A19">
            <w:rPr>
              <w:rFonts w:cstheme="minorHAnsi"/>
              <w:sz w:val="24"/>
              <w:szCs w:val="24"/>
              <w:lang w:val="en-GB"/>
            </w:rPr>
            <w:t>, also given the wide variety of work that is being carried out</w:t>
          </w:r>
          <w:r w:rsidR="004B0860" w:rsidRPr="000D4A19">
            <w:rPr>
              <w:rFonts w:cstheme="minorHAnsi"/>
              <w:sz w:val="24"/>
              <w:szCs w:val="24"/>
              <w:lang w:val="en-GB"/>
            </w:rPr>
            <w:t xml:space="preserve"> by these categories of persons</w:t>
          </w:r>
          <w:r w:rsidR="00C3336E" w:rsidRPr="000D4A19">
            <w:rPr>
              <w:rFonts w:cstheme="minorHAnsi"/>
              <w:sz w:val="24"/>
              <w:szCs w:val="24"/>
              <w:lang w:val="en-GB"/>
            </w:rPr>
            <w:t xml:space="preserve">, which </w:t>
          </w:r>
          <w:r w:rsidR="006F61F0" w:rsidRPr="000D4A19">
            <w:rPr>
              <w:rFonts w:cstheme="minorHAnsi"/>
              <w:sz w:val="24"/>
              <w:szCs w:val="24"/>
              <w:lang w:val="en-GB"/>
            </w:rPr>
            <w:t xml:space="preserve">is </w:t>
          </w:r>
          <w:r w:rsidR="00C3336E" w:rsidRPr="000D4A19">
            <w:rPr>
              <w:rFonts w:cstheme="minorHAnsi"/>
              <w:sz w:val="24"/>
              <w:szCs w:val="24"/>
              <w:lang w:val="en-GB"/>
            </w:rPr>
            <w:t>indeed sometimes</w:t>
          </w:r>
          <w:r w:rsidR="00C422D0" w:rsidRPr="000D4A19">
            <w:rPr>
              <w:rFonts w:cstheme="minorHAnsi"/>
              <w:sz w:val="24"/>
              <w:szCs w:val="24"/>
              <w:lang w:val="en-GB"/>
            </w:rPr>
            <w:t xml:space="preserve"> of a purely administrative or project-management nature. </w:t>
          </w:r>
          <w:r w:rsidRPr="000D4A19">
            <w:rPr>
              <w:rFonts w:cstheme="minorHAnsi"/>
              <w:sz w:val="24"/>
              <w:szCs w:val="24"/>
              <w:lang w:val="en-GB"/>
            </w:rPr>
            <w:t>However</w:t>
          </w:r>
          <w:r w:rsidR="00981699" w:rsidRPr="000D4A19">
            <w:rPr>
              <w:rFonts w:cstheme="minorHAnsi"/>
              <w:sz w:val="24"/>
              <w:szCs w:val="24"/>
              <w:lang w:val="en-GB"/>
            </w:rPr>
            <w:t xml:space="preserve">, this </w:t>
          </w:r>
          <w:r w:rsidRPr="000D4A19">
            <w:rPr>
              <w:rFonts w:cstheme="minorHAnsi"/>
              <w:sz w:val="24"/>
              <w:szCs w:val="24"/>
              <w:lang w:val="en-GB"/>
            </w:rPr>
            <w:t xml:space="preserve">flexibility in recruitment </w:t>
          </w:r>
          <w:r w:rsidR="00981699" w:rsidRPr="000D4A19">
            <w:rPr>
              <w:rFonts w:cstheme="minorHAnsi"/>
              <w:sz w:val="24"/>
              <w:szCs w:val="24"/>
              <w:lang w:val="en-GB"/>
            </w:rPr>
            <w:t xml:space="preserve">should be counterbalanced </w:t>
          </w:r>
          <w:r w:rsidR="00880843" w:rsidRPr="000D4A19">
            <w:rPr>
              <w:rFonts w:cstheme="minorHAnsi"/>
              <w:sz w:val="24"/>
              <w:szCs w:val="24"/>
              <w:lang w:val="en-GB"/>
            </w:rPr>
            <w:t>by</w:t>
          </w:r>
          <w:r w:rsidR="002F3A7E" w:rsidRPr="000D4A19">
            <w:rPr>
              <w:rFonts w:cstheme="minorHAnsi"/>
              <w:sz w:val="24"/>
              <w:szCs w:val="24"/>
              <w:lang w:val="en-GB"/>
            </w:rPr>
            <w:t xml:space="preserve"> a necessary amount of transparency,</w:t>
          </w:r>
          <w:r w:rsidR="00880843" w:rsidRPr="000D4A19">
            <w:rPr>
              <w:rFonts w:cstheme="minorHAnsi"/>
              <w:sz w:val="24"/>
              <w:szCs w:val="24"/>
              <w:lang w:val="en-GB"/>
            </w:rPr>
            <w:t xml:space="preserve"> </w:t>
          </w:r>
          <w:r w:rsidR="00981699" w:rsidRPr="000D4A19">
            <w:rPr>
              <w:rFonts w:cstheme="minorHAnsi"/>
              <w:sz w:val="24"/>
              <w:szCs w:val="24"/>
              <w:lang w:val="en-GB"/>
            </w:rPr>
            <w:t>a formalised check upon</w:t>
          </w:r>
          <w:r w:rsidR="00880843" w:rsidRPr="000D4A19">
            <w:rPr>
              <w:rFonts w:cstheme="minorHAnsi"/>
              <w:sz w:val="24"/>
              <w:szCs w:val="24"/>
              <w:lang w:val="en-GB"/>
            </w:rPr>
            <w:t xml:space="preserve"> recruitment in a similar manner as is reportedly being done for civil servants, and </w:t>
          </w:r>
          <w:r w:rsidR="002F3A7E" w:rsidRPr="000D4A19">
            <w:rPr>
              <w:rFonts w:cstheme="minorHAnsi"/>
              <w:sz w:val="24"/>
              <w:szCs w:val="24"/>
              <w:lang w:val="en-GB"/>
            </w:rPr>
            <w:t xml:space="preserve">the unambiguous applicability of certain </w:t>
          </w:r>
          <w:r w:rsidR="00880843" w:rsidRPr="000D4A19">
            <w:rPr>
              <w:rFonts w:cstheme="minorHAnsi"/>
              <w:sz w:val="24"/>
              <w:szCs w:val="24"/>
              <w:lang w:val="en-GB"/>
            </w:rPr>
            <w:t>standards of</w:t>
          </w:r>
          <w:r w:rsidR="002F3A7E" w:rsidRPr="000D4A19">
            <w:rPr>
              <w:rFonts w:cstheme="minorHAnsi"/>
              <w:sz w:val="24"/>
              <w:szCs w:val="24"/>
              <w:lang w:val="en-GB"/>
            </w:rPr>
            <w:t xml:space="preserve"> ethical</w:t>
          </w:r>
          <w:r w:rsidR="00880843" w:rsidRPr="000D4A19">
            <w:rPr>
              <w:rFonts w:cstheme="minorHAnsi"/>
              <w:sz w:val="24"/>
              <w:szCs w:val="24"/>
              <w:lang w:val="en-GB"/>
            </w:rPr>
            <w:t xml:space="preserve"> conduct, in particular </w:t>
          </w:r>
          <w:r w:rsidR="00D81C74" w:rsidRPr="000D4A19">
            <w:rPr>
              <w:rFonts w:cstheme="minorHAnsi"/>
              <w:sz w:val="24"/>
              <w:szCs w:val="24"/>
              <w:lang w:val="en-GB"/>
            </w:rPr>
            <w:t xml:space="preserve">with a view to preventing </w:t>
          </w:r>
          <w:r w:rsidR="00880843" w:rsidRPr="000D4A19">
            <w:rPr>
              <w:rFonts w:cstheme="minorHAnsi"/>
              <w:sz w:val="24"/>
              <w:szCs w:val="24"/>
              <w:lang w:val="en-GB"/>
            </w:rPr>
            <w:t xml:space="preserve">conflicts of interest and use of </w:t>
          </w:r>
          <w:r w:rsidR="004B0860" w:rsidRPr="000D4A19">
            <w:rPr>
              <w:rFonts w:cstheme="minorHAnsi"/>
              <w:sz w:val="24"/>
              <w:szCs w:val="24"/>
              <w:lang w:val="en-GB"/>
            </w:rPr>
            <w:t xml:space="preserve">confidential </w:t>
          </w:r>
          <w:r w:rsidR="00880843" w:rsidRPr="000D4A19">
            <w:rPr>
              <w:rFonts w:cstheme="minorHAnsi"/>
              <w:sz w:val="24"/>
              <w:szCs w:val="24"/>
              <w:lang w:val="en-GB"/>
            </w:rPr>
            <w:t>information</w:t>
          </w:r>
          <w:r w:rsidR="00D81C74" w:rsidRPr="000D4A19">
            <w:rPr>
              <w:rFonts w:cstheme="minorHAnsi"/>
              <w:sz w:val="24"/>
              <w:szCs w:val="24"/>
              <w:lang w:val="en-GB"/>
            </w:rPr>
            <w:t xml:space="preserve"> obtained through their work for the government</w:t>
          </w:r>
          <w:r w:rsidR="00880843" w:rsidRPr="000D4A19">
            <w:rPr>
              <w:rFonts w:cstheme="minorHAnsi"/>
              <w:sz w:val="24"/>
              <w:szCs w:val="24"/>
              <w:lang w:val="en-GB"/>
            </w:rPr>
            <w:t xml:space="preserve">. In view of the foregoing, </w:t>
          </w:r>
          <w:r w:rsidR="00880843" w:rsidRPr="000D4A19">
            <w:rPr>
              <w:rFonts w:cstheme="minorHAnsi"/>
              <w:b/>
              <w:sz w:val="24"/>
              <w:szCs w:val="24"/>
              <w:lang w:val="en-GB"/>
            </w:rPr>
            <w:t xml:space="preserve">GRECO recommends </w:t>
          </w:r>
          <w:bookmarkStart w:id="27" w:name="_Hlk26535565"/>
          <w:bookmarkStart w:id="28" w:name="_Hlk22745388"/>
          <w:r w:rsidR="00880843" w:rsidRPr="000D4A19">
            <w:rPr>
              <w:rFonts w:cstheme="minorHAnsi"/>
              <w:b/>
              <w:sz w:val="24"/>
              <w:szCs w:val="24"/>
              <w:lang w:val="en-GB"/>
            </w:rPr>
            <w:t>t</w:t>
          </w:r>
          <w:r w:rsidR="00D66410" w:rsidRPr="000D4A19">
            <w:rPr>
              <w:rFonts w:cstheme="minorHAnsi"/>
              <w:b/>
              <w:sz w:val="24"/>
              <w:szCs w:val="24"/>
              <w:lang w:val="en-GB"/>
            </w:rPr>
            <w:t xml:space="preserve">hat the </w:t>
          </w:r>
          <w:r w:rsidR="00137B23" w:rsidRPr="000D4A19">
            <w:rPr>
              <w:rFonts w:cstheme="minorHAnsi"/>
              <w:b/>
              <w:sz w:val="24"/>
              <w:szCs w:val="24"/>
              <w:lang w:val="en-GB"/>
            </w:rPr>
            <w:t>legal status, recruitment and o</w:t>
          </w:r>
          <w:r w:rsidR="00C422D0" w:rsidRPr="000D4A19">
            <w:rPr>
              <w:rFonts w:cstheme="minorHAnsi"/>
              <w:b/>
              <w:sz w:val="24"/>
              <w:szCs w:val="24"/>
              <w:lang w:val="en-GB"/>
            </w:rPr>
            <w:t xml:space="preserve">bligations of special advisers </w:t>
          </w:r>
          <w:r w:rsidR="00137B23" w:rsidRPr="000D4A19">
            <w:rPr>
              <w:rFonts w:cstheme="minorHAnsi"/>
              <w:b/>
              <w:sz w:val="24"/>
              <w:szCs w:val="24"/>
              <w:lang w:val="en-GB"/>
            </w:rPr>
            <w:t>and others working in an advis</w:t>
          </w:r>
          <w:r w:rsidR="00C422D0" w:rsidRPr="000D4A19">
            <w:rPr>
              <w:rFonts w:cstheme="minorHAnsi"/>
              <w:b/>
              <w:sz w:val="24"/>
              <w:szCs w:val="24"/>
              <w:lang w:val="en-GB"/>
            </w:rPr>
            <w:t>ory capacity for the government</w:t>
          </w:r>
          <w:r w:rsidR="00D66410" w:rsidRPr="000D4A19">
            <w:rPr>
              <w:rFonts w:cstheme="minorHAnsi"/>
              <w:b/>
              <w:sz w:val="24"/>
              <w:szCs w:val="24"/>
              <w:lang w:val="en-GB"/>
            </w:rPr>
            <w:t xml:space="preserve"> be regulated</w:t>
          </w:r>
          <w:r w:rsidR="00137B23" w:rsidRPr="000D4A19">
            <w:rPr>
              <w:rFonts w:cstheme="minorHAnsi"/>
              <w:b/>
              <w:sz w:val="24"/>
              <w:szCs w:val="24"/>
              <w:lang w:val="en-GB"/>
            </w:rPr>
            <w:t xml:space="preserve">, ensuring that they </w:t>
          </w:r>
          <w:r w:rsidR="002F3A7E" w:rsidRPr="000D4A19">
            <w:rPr>
              <w:rFonts w:cstheme="minorHAnsi"/>
              <w:b/>
              <w:sz w:val="24"/>
              <w:szCs w:val="24"/>
              <w:lang w:val="en-GB"/>
            </w:rPr>
            <w:t>undergo an integrity check upon select</w:t>
          </w:r>
          <w:r w:rsidR="006F61F0" w:rsidRPr="000D4A19">
            <w:rPr>
              <w:rFonts w:cstheme="minorHAnsi"/>
              <w:b/>
              <w:sz w:val="24"/>
              <w:szCs w:val="24"/>
              <w:lang w:val="en-GB"/>
            </w:rPr>
            <w:t>ion</w:t>
          </w:r>
          <w:r w:rsidR="002F3A7E" w:rsidRPr="000D4A19">
            <w:rPr>
              <w:rFonts w:cstheme="minorHAnsi"/>
              <w:b/>
              <w:sz w:val="24"/>
              <w:szCs w:val="24"/>
              <w:lang w:val="en-GB"/>
            </w:rPr>
            <w:t xml:space="preserve">, that their names, functions and possible remuneration </w:t>
          </w:r>
          <w:r w:rsidR="0052024E" w:rsidRPr="000D4A19">
            <w:rPr>
              <w:rFonts w:cstheme="minorHAnsi"/>
              <w:b/>
              <w:sz w:val="24"/>
              <w:szCs w:val="24"/>
              <w:lang w:val="en-GB"/>
            </w:rPr>
            <w:t>(</w:t>
          </w:r>
          <w:r w:rsidR="002F3A7E" w:rsidRPr="000D4A19">
            <w:rPr>
              <w:rFonts w:cstheme="minorHAnsi"/>
              <w:b/>
              <w:sz w:val="24"/>
              <w:szCs w:val="24"/>
              <w:lang w:val="en-GB"/>
            </w:rPr>
            <w:t>for th</w:t>
          </w:r>
          <w:r w:rsidR="0052024E" w:rsidRPr="000D4A19">
            <w:rPr>
              <w:rFonts w:cstheme="minorHAnsi"/>
              <w:b/>
              <w:sz w:val="24"/>
              <w:szCs w:val="24"/>
              <w:lang w:val="en-GB"/>
            </w:rPr>
            <w:t>e tasks the</w:t>
          </w:r>
          <w:r w:rsidR="00C3336E" w:rsidRPr="000D4A19">
            <w:rPr>
              <w:rFonts w:cstheme="minorHAnsi"/>
              <w:b/>
              <w:sz w:val="24"/>
              <w:szCs w:val="24"/>
              <w:lang w:val="en-GB"/>
            </w:rPr>
            <w:t>y carry out for the government)</w:t>
          </w:r>
          <w:r w:rsidR="002F3A7E" w:rsidRPr="000D4A19">
            <w:rPr>
              <w:rFonts w:cstheme="minorHAnsi"/>
              <w:b/>
              <w:sz w:val="24"/>
              <w:szCs w:val="24"/>
              <w:lang w:val="en-GB"/>
            </w:rPr>
            <w:t xml:space="preserve"> </w:t>
          </w:r>
          <w:r w:rsidR="006F61F0" w:rsidRPr="000D4A19">
            <w:rPr>
              <w:rFonts w:cstheme="minorHAnsi"/>
              <w:b/>
              <w:sz w:val="24"/>
              <w:szCs w:val="24"/>
              <w:lang w:val="en-GB"/>
            </w:rPr>
            <w:t>are</w:t>
          </w:r>
          <w:r w:rsidR="002F3A7E" w:rsidRPr="000D4A19">
            <w:rPr>
              <w:rFonts w:cstheme="minorHAnsi"/>
              <w:b/>
              <w:sz w:val="24"/>
              <w:szCs w:val="24"/>
              <w:lang w:val="en-GB"/>
            </w:rPr>
            <w:t xml:space="preserve"> made public and that appropriate regulations on conflicts of interest </w:t>
          </w:r>
          <w:r w:rsidR="00F06D73" w:rsidRPr="000D4A19">
            <w:rPr>
              <w:rFonts w:cstheme="minorHAnsi"/>
              <w:b/>
              <w:sz w:val="24"/>
              <w:szCs w:val="24"/>
              <w:lang w:val="en-GB"/>
            </w:rPr>
            <w:t xml:space="preserve">and use of confidential information </w:t>
          </w:r>
          <w:r w:rsidR="00C3336E" w:rsidRPr="000D4A19">
            <w:rPr>
              <w:rFonts w:cstheme="minorHAnsi"/>
              <w:b/>
              <w:sz w:val="24"/>
              <w:szCs w:val="24"/>
              <w:lang w:val="en-GB"/>
            </w:rPr>
            <w:t xml:space="preserve">apply </w:t>
          </w:r>
          <w:r w:rsidR="002F3A7E" w:rsidRPr="000D4A19">
            <w:rPr>
              <w:rFonts w:cstheme="minorHAnsi"/>
              <w:b/>
              <w:sz w:val="24"/>
              <w:szCs w:val="24"/>
              <w:lang w:val="en-GB"/>
            </w:rPr>
            <w:t>to them</w:t>
          </w:r>
          <w:bookmarkEnd w:id="27"/>
          <w:r w:rsidR="002F3A7E" w:rsidRPr="000D4A19">
            <w:rPr>
              <w:rFonts w:cstheme="minorHAnsi"/>
              <w:b/>
              <w:sz w:val="24"/>
              <w:szCs w:val="24"/>
              <w:lang w:val="en-GB"/>
            </w:rPr>
            <w:t>.</w:t>
          </w:r>
          <w:bookmarkEnd w:id="28"/>
          <w:r w:rsidR="002F3A7E" w:rsidRPr="000D4A19">
            <w:rPr>
              <w:rFonts w:cstheme="minorHAnsi"/>
              <w:b/>
              <w:sz w:val="24"/>
              <w:szCs w:val="24"/>
              <w:lang w:val="en-GB"/>
            </w:rPr>
            <w:t xml:space="preserve"> </w:t>
          </w:r>
          <w:r w:rsidR="0052024E" w:rsidRPr="000D4A19">
            <w:rPr>
              <w:rFonts w:cstheme="minorHAnsi"/>
              <w:sz w:val="24"/>
              <w:szCs w:val="24"/>
              <w:lang w:val="en-GB"/>
            </w:rPr>
            <w:t xml:space="preserve"> </w:t>
          </w:r>
        </w:p>
        <w:p w14:paraId="590D3735" w14:textId="77777777" w:rsidR="002F3A7E" w:rsidRPr="000D4A19" w:rsidRDefault="002F3A7E" w:rsidP="002F3A7E">
          <w:pPr>
            <w:tabs>
              <w:tab w:val="left" w:pos="709"/>
              <w:tab w:val="num" w:pos="1557"/>
              <w:tab w:val="num" w:pos="4679"/>
            </w:tabs>
            <w:spacing w:after="0" w:line="240" w:lineRule="auto"/>
            <w:jc w:val="both"/>
            <w:rPr>
              <w:rFonts w:cstheme="minorHAnsi"/>
              <w:sz w:val="24"/>
              <w:szCs w:val="24"/>
              <w:lang w:val="en-GB"/>
            </w:rPr>
          </w:pPr>
        </w:p>
        <w:p w14:paraId="257AE608" w14:textId="77777777" w:rsidR="00C3336E" w:rsidRPr="000D4A19" w:rsidRDefault="009919AC" w:rsidP="00756FEC">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29" w:name="_Toc4762849"/>
          <w:bookmarkStart w:id="30" w:name="_Toc25229290"/>
          <w:r w:rsidRPr="000D4A19">
            <w:rPr>
              <w:rFonts w:asciiTheme="minorHAnsi" w:hAnsiTheme="minorHAnsi"/>
              <w:b w:val="0"/>
              <w:i/>
              <w:color w:val="auto"/>
              <w:sz w:val="24"/>
              <w:szCs w:val="24"/>
              <w:lang w:val="en-GB"/>
            </w:rPr>
            <w:t>Status and remuneration of persons with top executive functions</w:t>
          </w:r>
          <w:bookmarkEnd w:id="29"/>
          <w:bookmarkEnd w:id="30"/>
        </w:p>
        <w:p w14:paraId="1981F1D9" w14:textId="77777777" w:rsidR="009919AC" w:rsidRPr="000D4A19" w:rsidRDefault="009919AC" w:rsidP="00756FEC">
          <w:pPr>
            <w:spacing w:after="0" w:line="240" w:lineRule="auto"/>
            <w:rPr>
              <w:lang w:val="en-GB"/>
            </w:rPr>
          </w:pPr>
        </w:p>
        <w:p w14:paraId="2927D951" w14:textId="1BEBCD6C" w:rsidR="009919AC" w:rsidRPr="000D4A19" w:rsidRDefault="00FE45DF" w:rsidP="00756FEC">
          <w:pPr>
            <w:numPr>
              <w:ilvl w:val="0"/>
              <w:numId w:val="1"/>
            </w:numPr>
            <w:tabs>
              <w:tab w:val="left" w:pos="709"/>
              <w:tab w:val="num" w:pos="1557"/>
              <w:tab w:val="num" w:pos="4679"/>
            </w:tabs>
            <w:spacing w:after="0" w:line="240" w:lineRule="auto"/>
            <w:ind w:left="0" w:firstLine="0"/>
            <w:jc w:val="both"/>
            <w:rPr>
              <w:rFonts w:cstheme="minorHAnsi"/>
              <w:sz w:val="24"/>
              <w:szCs w:val="24"/>
              <w:lang w:val="en-GB"/>
            </w:rPr>
          </w:pPr>
          <w:r w:rsidRPr="000D4A19">
            <w:rPr>
              <w:rFonts w:cstheme="minorHAnsi"/>
              <w:sz w:val="24"/>
              <w:szCs w:val="24"/>
              <w:lang w:val="en-GB"/>
            </w:rPr>
            <w:t>As indicated above, m</w:t>
          </w:r>
          <w:r w:rsidR="009919AC" w:rsidRPr="000D4A19">
            <w:rPr>
              <w:rFonts w:cstheme="minorHAnsi"/>
              <w:sz w:val="24"/>
              <w:szCs w:val="24"/>
              <w:lang w:val="en-GB"/>
            </w:rPr>
            <w:t xml:space="preserve">inisters, state secretaries, state secretaries of central </w:t>
          </w:r>
          <w:r w:rsidR="00E7251E" w:rsidRPr="000D4A19">
            <w:rPr>
              <w:rFonts w:cstheme="minorHAnsi"/>
              <w:sz w:val="24"/>
              <w:szCs w:val="24"/>
              <w:lang w:val="en-GB"/>
            </w:rPr>
            <w:t xml:space="preserve">state </w:t>
          </w:r>
          <w:r w:rsidR="009919AC" w:rsidRPr="000D4A19">
            <w:rPr>
              <w:rFonts w:cstheme="minorHAnsi"/>
              <w:sz w:val="24"/>
              <w:szCs w:val="24"/>
              <w:lang w:val="en-GB"/>
            </w:rPr>
            <w:t xml:space="preserve">offices </w:t>
          </w:r>
          <w:r w:rsidR="00E7251E" w:rsidRPr="000D4A19">
            <w:rPr>
              <w:rFonts w:cstheme="minorHAnsi"/>
              <w:sz w:val="24"/>
              <w:szCs w:val="24"/>
              <w:lang w:val="en-GB"/>
            </w:rPr>
            <w:t xml:space="preserve">and director generals of state administrative organisations </w:t>
          </w:r>
          <w:r w:rsidR="009919AC" w:rsidRPr="000D4A19">
            <w:rPr>
              <w:rFonts w:cstheme="minorHAnsi"/>
              <w:sz w:val="24"/>
              <w:szCs w:val="24"/>
              <w:lang w:val="en-GB"/>
            </w:rPr>
            <w:t xml:space="preserve">are to be considered state officials, in accordance with the Law on the System of State Administration. </w:t>
          </w:r>
        </w:p>
        <w:p w14:paraId="78C8B6D7" w14:textId="6B660C1E" w:rsidR="009919AC" w:rsidRPr="000D4A19" w:rsidRDefault="009919AC" w:rsidP="00756FEC">
          <w:pPr>
            <w:tabs>
              <w:tab w:val="left" w:pos="709"/>
              <w:tab w:val="num" w:pos="4679"/>
            </w:tabs>
            <w:spacing w:after="0" w:line="240" w:lineRule="auto"/>
            <w:jc w:val="both"/>
            <w:rPr>
              <w:rFonts w:cstheme="minorHAnsi"/>
              <w:sz w:val="24"/>
              <w:szCs w:val="24"/>
              <w:lang w:val="en-GB"/>
            </w:rPr>
          </w:pPr>
        </w:p>
        <w:p w14:paraId="471B3BB5" w14:textId="118FF519" w:rsidR="009919AC" w:rsidRPr="000D4A19" w:rsidRDefault="009919AC" w:rsidP="00756FEC">
          <w:pPr>
            <w:numPr>
              <w:ilvl w:val="0"/>
              <w:numId w:val="1"/>
            </w:numPr>
            <w:tabs>
              <w:tab w:val="left" w:pos="709"/>
              <w:tab w:val="num" w:pos="1557"/>
              <w:tab w:val="num" w:pos="4679"/>
            </w:tabs>
            <w:spacing w:after="0" w:line="240" w:lineRule="auto"/>
            <w:ind w:left="0" w:firstLine="0"/>
            <w:jc w:val="both"/>
            <w:rPr>
              <w:rFonts w:cstheme="minorHAnsi"/>
              <w:sz w:val="24"/>
              <w:szCs w:val="24"/>
              <w:lang w:val="en-GB"/>
            </w:rPr>
          </w:pPr>
          <w:r w:rsidRPr="000D4A19">
            <w:rPr>
              <w:sz w:val="24"/>
              <w:szCs w:val="24"/>
              <w:lang w:val="en-GB"/>
            </w:rPr>
            <w:t xml:space="preserve">The range of </w:t>
          </w:r>
          <w:r w:rsidR="00003E3B" w:rsidRPr="000D4A19">
            <w:rPr>
              <w:sz w:val="24"/>
              <w:szCs w:val="24"/>
              <w:lang w:val="en-GB"/>
            </w:rPr>
            <w:t xml:space="preserve">gross </w:t>
          </w:r>
          <w:r w:rsidRPr="000D4A19">
            <w:rPr>
              <w:sz w:val="24"/>
              <w:szCs w:val="24"/>
              <w:lang w:val="en-GB"/>
            </w:rPr>
            <w:t>salaries for the abovementioned positions is as follows</w:t>
          </w:r>
          <w:r w:rsidRPr="000D4A19">
            <w:rPr>
              <w:rStyle w:val="Referencafusnote"/>
              <w:sz w:val="24"/>
              <w:szCs w:val="24"/>
              <w:lang w:val="en-GB"/>
            </w:rPr>
            <w:footnoteReference w:id="24"/>
          </w:r>
          <w:r w:rsidRPr="000D4A19">
            <w:rPr>
              <w:sz w:val="24"/>
              <w:szCs w:val="24"/>
              <w:lang w:val="en-GB"/>
            </w:rPr>
            <w:t xml:space="preserve">: </w:t>
          </w:r>
        </w:p>
        <w:p w14:paraId="7ACE7447" w14:textId="77777777" w:rsidR="009919AC" w:rsidRPr="000D4A19" w:rsidRDefault="009919AC" w:rsidP="004B7CAB">
          <w:pPr>
            <w:tabs>
              <w:tab w:val="left" w:pos="709"/>
            </w:tabs>
            <w:spacing w:after="0" w:line="240" w:lineRule="auto"/>
            <w:jc w:val="both"/>
            <w:rPr>
              <w:rFonts w:cstheme="minorHAnsi"/>
              <w:sz w:val="24"/>
              <w:szCs w:val="24"/>
              <w:lang w:val="en-GB"/>
            </w:rPr>
          </w:pPr>
        </w:p>
        <w:tbl>
          <w:tblPr>
            <w:tblStyle w:val="Reetkatablice"/>
            <w:tblW w:w="0" w:type="auto"/>
            <w:tblInd w:w="108" w:type="dxa"/>
            <w:shd w:val="clear" w:color="auto" w:fill="D9D9D9"/>
            <w:tblLayout w:type="fixed"/>
            <w:tblLook w:val="04A0" w:firstRow="1" w:lastRow="0" w:firstColumn="1" w:lastColumn="0" w:noHBand="0" w:noVBand="1"/>
          </w:tblPr>
          <w:tblGrid>
            <w:gridCol w:w="4820"/>
            <w:gridCol w:w="1417"/>
            <w:gridCol w:w="1418"/>
            <w:gridCol w:w="1417"/>
          </w:tblGrid>
          <w:tr w:rsidR="009919AC" w:rsidRPr="000D4A19" w14:paraId="777BCF88" w14:textId="77777777" w:rsidTr="004B7CAB">
            <w:tc>
              <w:tcPr>
                <w:tcW w:w="4820" w:type="dxa"/>
                <w:tcBorders>
                  <w:bottom w:val="single" w:sz="4" w:space="0" w:color="auto"/>
                </w:tcBorders>
                <w:shd w:val="clear" w:color="auto" w:fill="D9D9D9"/>
              </w:tcPr>
              <w:p w14:paraId="5D4FCCB7" w14:textId="77777777" w:rsidR="009919AC" w:rsidRPr="000D4A19" w:rsidRDefault="009919AC" w:rsidP="004B7CAB">
                <w:pPr>
                  <w:tabs>
                    <w:tab w:val="left" w:pos="709"/>
                  </w:tabs>
                  <w:ind w:left="40" w:right="40"/>
                  <w:rPr>
                    <w:rFonts w:cstheme="minorHAnsi"/>
                    <w:b/>
                    <w:sz w:val="20"/>
                    <w:szCs w:val="20"/>
                    <w:lang w:val="en-GB"/>
                  </w:rPr>
                </w:pPr>
                <w:r w:rsidRPr="000D4A19">
                  <w:rPr>
                    <w:rFonts w:cstheme="minorHAnsi"/>
                    <w:b/>
                    <w:sz w:val="20"/>
                    <w:szCs w:val="20"/>
                    <w:lang w:val="en-GB"/>
                  </w:rPr>
                  <w:t>Post</w:t>
                </w:r>
              </w:p>
            </w:tc>
            <w:tc>
              <w:tcPr>
                <w:tcW w:w="1417" w:type="dxa"/>
                <w:tcBorders>
                  <w:bottom w:val="single" w:sz="4" w:space="0" w:color="auto"/>
                </w:tcBorders>
                <w:shd w:val="clear" w:color="auto" w:fill="D9D9D9"/>
              </w:tcPr>
              <w:p w14:paraId="596D6B4F" w14:textId="77777777" w:rsidR="009919AC" w:rsidRPr="000D4A19" w:rsidRDefault="009919AC" w:rsidP="004B7CAB">
                <w:pPr>
                  <w:tabs>
                    <w:tab w:val="left" w:pos="709"/>
                  </w:tabs>
                  <w:ind w:left="40" w:right="40"/>
                  <w:rPr>
                    <w:rFonts w:cstheme="minorHAnsi"/>
                    <w:b/>
                    <w:sz w:val="20"/>
                    <w:szCs w:val="20"/>
                    <w:lang w:val="en-GB"/>
                  </w:rPr>
                </w:pPr>
                <w:r w:rsidRPr="000D4A19">
                  <w:rPr>
                    <w:rFonts w:cstheme="minorHAnsi"/>
                    <w:b/>
                    <w:sz w:val="20"/>
                    <w:szCs w:val="20"/>
                    <w:lang w:val="en-GB"/>
                  </w:rPr>
                  <w:t>Coefficient</w:t>
                </w:r>
                <w:r w:rsidRPr="000D4A19">
                  <w:rPr>
                    <w:rStyle w:val="Referencafusnote"/>
                    <w:rFonts w:cstheme="minorHAnsi"/>
                    <w:b/>
                    <w:sz w:val="20"/>
                    <w:szCs w:val="20"/>
                    <w:lang w:val="en-GB"/>
                  </w:rPr>
                  <w:footnoteReference w:id="25"/>
                </w:r>
                <w:r w:rsidRPr="000D4A19">
                  <w:rPr>
                    <w:rFonts w:cstheme="minorHAnsi"/>
                    <w:b/>
                    <w:sz w:val="20"/>
                    <w:szCs w:val="20"/>
                    <w:lang w:val="en-GB"/>
                  </w:rPr>
                  <w:t xml:space="preserve"> </w:t>
                </w:r>
              </w:p>
            </w:tc>
            <w:tc>
              <w:tcPr>
                <w:tcW w:w="1418" w:type="dxa"/>
                <w:tcBorders>
                  <w:bottom w:val="single" w:sz="4" w:space="0" w:color="auto"/>
                </w:tcBorders>
                <w:shd w:val="clear" w:color="auto" w:fill="D9D9D9"/>
              </w:tcPr>
              <w:p w14:paraId="55BAA5F1" w14:textId="77777777" w:rsidR="009919AC" w:rsidRPr="000D4A19" w:rsidRDefault="009919AC" w:rsidP="004B7CAB">
                <w:pPr>
                  <w:tabs>
                    <w:tab w:val="left" w:pos="709"/>
                  </w:tabs>
                  <w:ind w:left="40" w:right="40"/>
                  <w:rPr>
                    <w:rFonts w:cstheme="minorHAnsi"/>
                    <w:b/>
                    <w:sz w:val="20"/>
                    <w:szCs w:val="20"/>
                    <w:lang w:val="en-GB"/>
                  </w:rPr>
                </w:pPr>
                <w:r w:rsidRPr="000D4A19">
                  <w:rPr>
                    <w:rFonts w:cstheme="minorHAnsi"/>
                    <w:b/>
                    <w:sz w:val="20"/>
                    <w:szCs w:val="20"/>
                    <w:lang w:val="en-GB"/>
                  </w:rPr>
                  <w:t>Salary HRK/month</w:t>
                </w:r>
              </w:p>
            </w:tc>
            <w:tc>
              <w:tcPr>
                <w:tcW w:w="1417" w:type="dxa"/>
                <w:tcBorders>
                  <w:bottom w:val="single" w:sz="4" w:space="0" w:color="auto"/>
                </w:tcBorders>
                <w:shd w:val="clear" w:color="auto" w:fill="D9D9D9"/>
              </w:tcPr>
              <w:p w14:paraId="747CEC22" w14:textId="77777777" w:rsidR="009919AC" w:rsidRPr="000D4A19" w:rsidRDefault="009919AC" w:rsidP="004B7CAB">
                <w:pPr>
                  <w:tabs>
                    <w:tab w:val="left" w:pos="709"/>
                  </w:tabs>
                  <w:ind w:left="40" w:right="40"/>
                  <w:rPr>
                    <w:rFonts w:cstheme="minorHAnsi"/>
                    <w:b/>
                    <w:sz w:val="20"/>
                    <w:szCs w:val="20"/>
                    <w:lang w:val="en-GB"/>
                  </w:rPr>
                </w:pPr>
                <w:r w:rsidRPr="000D4A19">
                  <w:rPr>
                    <w:rFonts w:cstheme="minorHAnsi"/>
                    <w:b/>
                    <w:sz w:val="20"/>
                    <w:szCs w:val="20"/>
                    <w:lang w:val="en-GB"/>
                  </w:rPr>
                  <w:t>Salary EUR / month</w:t>
                </w:r>
              </w:p>
            </w:tc>
          </w:tr>
          <w:tr w:rsidR="009919AC" w:rsidRPr="000D4A19" w14:paraId="33DDD9E6" w14:textId="77777777" w:rsidTr="004B7CAB">
            <w:tc>
              <w:tcPr>
                <w:tcW w:w="4820" w:type="dxa"/>
                <w:shd w:val="clear" w:color="auto" w:fill="auto"/>
              </w:tcPr>
              <w:p w14:paraId="5996B722"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 xml:space="preserve">Prime-Minister </w:t>
                </w:r>
              </w:p>
            </w:tc>
            <w:tc>
              <w:tcPr>
                <w:tcW w:w="1417" w:type="dxa"/>
                <w:shd w:val="clear" w:color="auto" w:fill="auto"/>
              </w:tcPr>
              <w:p w14:paraId="05FC701E"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7.86</w:t>
                </w:r>
              </w:p>
            </w:tc>
            <w:tc>
              <w:tcPr>
                <w:tcW w:w="1418" w:type="dxa"/>
                <w:shd w:val="clear" w:color="auto" w:fill="auto"/>
              </w:tcPr>
              <w:p w14:paraId="4065F46F"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30.575 HRK</w:t>
                </w:r>
              </w:p>
            </w:tc>
            <w:tc>
              <w:tcPr>
                <w:tcW w:w="1417" w:type="dxa"/>
                <w:shd w:val="clear" w:color="auto" w:fill="auto"/>
              </w:tcPr>
              <w:p w14:paraId="225F0F62"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4.120 EUR</w:t>
                </w:r>
              </w:p>
            </w:tc>
          </w:tr>
          <w:tr w:rsidR="009919AC" w:rsidRPr="000D4A19" w14:paraId="4CEC099E" w14:textId="77777777" w:rsidTr="004B7CAB">
            <w:tc>
              <w:tcPr>
                <w:tcW w:w="4820" w:type="dxa"/>
                <w:shd w:val="clear" w:color="auto" w:fill="auto"/>
              </w:tcPr>
              <w:p w14:paraId="60FD2857"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Deputy Prime-Minister</w:t>
                </w:r>
              </w:p>
            </w:tc>
            <w:tc>
              <w:tcPr>
                <w:tcW w:w="1417" w:type="dxa"/>
                <w:shd w:val="clear" w:color="auto" w:fill="auto"/>
              </w:tcPr>
              <w:p w14:paraId="6B017F00"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7.14</w:t>
                </w:r>
              </w:p>
            </w:tc>
            <w:tc>
              <w:tcPr>
                <w:tcW w:w="1418" w:type="dxa"/>
                <w:shd w:val="clear" w:color="auto" w:fill="auto"/>
              </w:tcPr>
              <w:p w14:paraId="33720455"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27.775 HRK</w:t>
                </w:r>
              </w:p>
            </w:tc>
            <w:tc>
              <w:tcPr>
                <w:tcW w:w="1417" w:type="dxa"/>
                <w:shd w:val="clear" w:color="auto" w:fill="auto"/>
              </w:tcPr>
              <w:p w14:paraId="381D08EC"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3.743 EUR</w:t>
                </w:r>
              </w:p>
            </w:tc>
          </w:tr>
          <w:tr w:rsidR="009919AC" w:rsidRPr="000D4A19" w14:paraId="670490A8" w14:textId="77777777" w:rsidTr="004B7CAB">
            <w:tc>
              <w:tcPr>
                <w:tcW w:w="4820" w:type="dxa"/>
                <w:shd w:val="clear" w:color="auto" w:fill="auto"/>
              </w:tcPr>
              <w:p w14:paraId="1639E1F8"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Minister</w:t>
                </w:r>
              </w:p>
            </w:tc>
            <w:tc>
              <w:tcPr>
                <w:tcW w:w="1417" w:type="dxa"/>
                <w:shd w:val="clear" w:color="auto" w:fill="auto"/>
              </w:tcPr>
              <w:p w14:paraId="459EAC54"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6.42</w:t>
                </w:r>
              </w:p>
            </w:tc>
            <w:tc>
              <w:tcPr>
                <w:tcW w:w="1418" w:type="dxa"/>
                <w:shd w:val="clear" w:color="auto" w:fill="auto"/>
              </w:tcPr>
              <w:p w14:paraId="7345E60F"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24.974 HRK</w:t>
                </w:r>
              </w:p>
            </w:tc>
            <w:tc>
              <w:tcPr>
                <w:tcW w:w="1417" w:type="dxa"/>
                <w:shd w:val="clear" w:color="auto" w:fill="auto"/>
              </w:tcPr>
              <w:p w14:paraId="5B97BB98"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3.365 EUR</w:t>
                </w:r>
              </w:p>
            </w:tc>
          </w:tr>
          <w:tr w:rsidR="009919AC" w:rsidRPr="000D4A19" w14:paraId="12C46E39" w14:textId="77777777" w:rsidTr="004B7CAB">
            <w:tc>
              <w:tcPr>
                <w:tcW w:w="4820" w:type="dxa"/>
                <w:shd w:val="clear" w:color="auto" w:fill="auto"/>
              </w:tcPr>
              <w:p w14:paraId="352E6016"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 xml:space="preserve">State Secretary </w:t>
                </w:r>
              </w:p>
            </w:tc>
            <w:tc>
              <w:tcPr>
                <w:tcW w:w="1417" w:type="dxa"/>
                <w:shd w:val="clear" w:color="auto" w:fill="auto"/>
              </w:tcPr>
              <w:p w14:paraId="4F290AC7"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5.7</w:t>
                </w:r>
              </w:p>
            </w:tc>
            <w:tc>
              <w:tcPr>
                <w:tcW w:w="1418" w:type="dxa"/>
                <w:shd w:val="clear" w:color="auto" w:fill="auto"/>
              </w:tcPr>
              <w:p w14:paraId="748F4583"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22.173 HRK</w:t>
                </w:r>
              </w:p>
            </w:tc>
            <w:tc>
              <w:tcPr>
                <w:tcW w:w="1417" w:type="dxa"/>
                <w:shd w:val="clear" w:color="auto" w:fill="auto"/>
              </w:tcPr>
              <w:p w14:paraId="376AAEE6"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2.988 EUR</w:t>
                </w:r>
              </w:p>
            </w:tc>
          </w:tr>
          <w:tr w:rsidR="009919AC" w:rsidRPr="000D4A19" w14:paraId="3CF1A5E3" w14:textId="77777777" w:rsidTr="004B7CAB">
            <w:tc>
              <w:tcPr>
                <w:tcW w:w="4820" w:type="dxa"/>
                <w:shd w:val="clear" w:color="auto" w:fill="auto"/>
              </w:tcPr>
              <w:p w14:paraId="02E3D95A"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 xml:space="preserve">Assistant Minister </w:t>
                </w:r>
              </w:p>
            </w:tc>
            <w:tc>
              <w:tcPr>
                <w:tcW w:w="1417" w:type="dxa"/>
                <w:shd w:val="clear" w:color="auto" w:fill="auto"/>
              </w:tcPr>
              <w:p w14:paraId="7A15F67B"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5.27</w:t>
                </w:r>
              </w:p>
            </w:tc>
            <w:tc>
              <w:tcPr>
                <w:tcW w:w="1418" w:type="dxa"/>
                <w:shd w:val="clear" w:color="auto" w:fill="auto"/>
              </w:tcPr>
              <w:p w14:paraId="379DD402"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20.500 HRK</w:t>
                </w:r>
              </w:p>
            </w:tc>
            <w:tc>
              <w:tcPr>
                <w:tcW w:w="1417" w:type="dxa"/>
                <w:shd w:val="clear" w:color="auto" w:fill="auto"/>
              </w:tcPr>
              <w:p w14:paraId="3CDB1CEE" w14:textId="77777777" w:rsidR="009919AC" w:rsidRPr="000D4A19" w:rsidRDefault="009919AC" w:rsidP="004B7CAB">
                <w:pPr>
                  <w:tabs>
                    <w:tab w:val="left" w:pos="709"/>
                  </w:tabs>
                  <w:ind w:left="40" w:right="40"/>
                  <w:rPr>
                    <w:rFonts w:cstheme="minorHAnsi"/>
                    <w:sz w:val="20"/>
                    <w:szCs w:val="20"/>
                    <w:lang w:val="en-GB"/>
                  </w:rPr>
                </w:pPr>
                <w:r w:rsidRPr="000D4A19">
                  <w:rPr>
                    <w:rFonts w:cstheme="minorHAnsi"/>
                    <w:sz w:val="20"/>
                    <w:szCs w:val="20"/>
                    <w:lang w:val="en-GB"/>
                  </w:rPr>
                  <w:t>2.762 EUR</w:t>
                </w:r>
              </w:p>
            </w:tc>
          </w:tr>
        </w:tbl>
        <w:p w14:paraId="1E687A5F" w14:textId="77777777" w:rsidR="004D4ED9" w:rsidRPr="000D4A19" w:rsidRDefault="004D4ED9" w:rsidP="004B7CAB">
          <w:pPr>
            <w:tabs>
              <w:tab w:val="num" w:pos="4679"/>
            </w:tabs>
            <w:spacing w:after="0" w:line="240" w:lineRule="auto"/>
            <w:jc w:val="both"/>
            <w:rPr>
              <w:rFonts w:cs="Ebrima"/>
              <w:sz w:val="24"/>
              <w:szCs w:val="24"/>
              <w:lang w:val="en-GB"/>
            </w:rPr>
          </w:pPr>
        </w:p>
        <w:p w14:paraId="292B6249" w14:textId="095180D2" w:rsidR="009919AC" w:rsidRPr="000D4A19" w:rsidRDefault="0021306B" w:rsidP="004B7CAB">
          <w:pPr>
            <w:numPr>
              <w:ilvl w:val="0"/>
              <w:numId w:val="1"/>
            </w:numPr>
            <w:tabs>
              <w:tab w:val="left" w:pos="709"/>
              <w:tab w:val="num" w:pos="1557"/>
              <w:tab w:val="num" w:pos="4679"/>
            </w:tabs>
            <w:spacing w:after="0" w:line="240" w:lineRule="auto"/>
            <w:ind w:left="0" w:firstLine="0"/>
            <w:jc w:val="both"/>
            <w:rPr>
              <w:rFonts w:cs="Ebrima"/>
              <w:sz w:val="24"/>
              <w:szCs w:val="24"/>
              <w:lang w:val="en-GB"/>
            </w:rPr>
          </w:pPr>
          <w:r>
            <w:rPr>
              <w:rFonts w:cs="Ebrima"/>
              <w:sz w:val="24"/>
              <w:szCs w:val="24"/>
              <w:lang w:val="en-GB"/>
            </w:rPr>
            <w:t>As for all state civil servants and public service employees, t</w:t>
          </w:r>
          <w:r w:rsidR="009919AC" w:rsidRPr="000D4A19">
            <w:rPr>
              <w:rFonts w:cs="Ebrima"/>
              <w:sz w:val="24"/>
              <w:szCs w:val="24"/>
              <w:lang w:val="en-GB"/>
            </w:rPr>
            <w:t xml:space="preserve">he salaries for the above-mentioned positions increase </w:t>
          </w:r>
          <w:r w:rsidR="006F61F0" w:rsidRPr="000D4A19">
            <w:rPr>
              <w:rFonts w:cs="Ebrima"/>
              <w:sz w:val="24"/>
              <w:szCs w:val="24"/>
              <w:lang w:val="en-GB"/>
            </w:rPr>
            <w:t>by</w:t>
          </w:r>
          <w:r w:rsidR="009919AC" w:rsidRPr="000D4A19">
            <w:rPr>
              <w:rFonts w:cs="Ebrima"/>
              <w:sz w:val="24"/>
              <w:szCs w:val="24"/>
              <w:lang w:val="en-GB"/>
            </w:rPr>
            <w:t xml:space="preserve"> 0.5% for each year an official is in that position, up to 20%. Information on the salaries of state officials is public information. </w:t>
          </w:r>
        </w:p>
        <w:p w14:paraId="006640D9" w14:textId="77777777" w:rsidR="009919AC" w:rsidRPr="000D4A19" w:rsidRDefault="009919AC" w:rsidP="004B7CAB">
          <w:pPr>
            <w:tabs>
              <w:tab w:val="left" w:pos="709"/>
            </w:tabs>
            <w:spacing w:after="0" w:line="240" w:lineRule="auto"/>
            <w:jc w:val="both"/>
            <w:rPr>
              <w:rFonts w:cs="Ebrima"/>
              <w:sz w:val="24"/>
              <w:szCs w:val="24"/>
              <w:lang w:val="en-GB"/>
            </w:rPr>
          </w:pPr>
        </w:p>
        <w:p w14:paraId="44AF0200" w14:textId="61DB19C1" w:rsidR="009F1B9F" w:rsidRPr="000D4A19" w:rsidRDefault="009919AC" w:rsidP="009F1B9F">
          <w:pPr>
            <w:numPr>
              <w:ilvl w:val="0"/>
              <w:numId w:val="1"/>
            </w:numPr>
            <w:tabs>
              <w:tab w:val="left" w:pos="709"/>
              <w:tab w:val="num" w:pos="1557"/>
              <w:tab w:val="num" w:pos="4679"/>
            </w:tabs>
            <w:spacing w:after="0" w:line="240" w:lineRule="auto"/>
            <w:ind w:left="0" w:firstLine="0"/>
            <w:jc w:val="both"/>
            <w:rPr>
              <w:rFonts w:cs="Ebrima"/>
              <w:sz w:val="24"/>
              <w:szCs w:val="24"/>
              <w:lang w:val="en-GB"/>
            </w:rPr>
          </w:pPr>
          <w:r w:rsidRPr="000D4A19">
            <w:rPr>
              <w:rFonts w:cs="Ebrima"/>
              <w:sz w:val="24"/>
              <w:szCs w:val="24"/>
              <w:lang w:val="en-GB"/>
            </w:rPr>
            <w:t xml:space="preserve">In accordance with Article 13 of the Law on Obligations of State Officials, </w:t>
          </w:r>
          <w:r w:rsidR="00E86F12">
            <w:rPr>
              <w:rFonts w:cs="Ebrima"/>
              <w:sz w:val="24"/>
              <w:szCs w:val="24"/>
              <w:lang w:val="en-GB"/>
            </w:rPr>
            <w:t xml:space="preserve">state officials </w:t>
          </w:r>
          <w:r w:rsidRPr="000D4A19">
            <w:rPr>
              <w:rFonts w:cs="Ebrima"/>
              <w:sz w:val="24"/>
              <w:szCs w:val="24"/>
              <w:lang w:val="en-GB"/>
            </w:rPr>
            <w:t>are allowed to receive additional allowances, in the form of separate living allowances, reimbursement of travel expenses and costs of meals.</w:t>
          </w:r>
          <w:r w:rsidRPr="000D4A19">
            <w:rPr>
              <w:rStyle w:val="Referencafusnote"/>
              <w:rFonts w:cs="Ebrima"/>
              <w:sz w:val="24"/>
              <w:szCs w:val="24"/>
              <w:lang w:val="en-GB"/>
            </w:rPr>
            <w:footnoteReference w:id="26"/>
          </w:r>
          <w:r w:rsidRPr="000D4A19">
            <w:rPr>
              <w:rFonts w:cs="Ebrima"/>
              <w:sz w:val="24"/>
              <w:szCs w:val="24"/>
              <w:lang w:val="en-GB"/>
            </w:rPr>
            <w:t xml:space="preserve"> State officials can also be given compensation during a limited period after the termination of their duties until they have found a new occupation</w:t>
          </w:r>
          <w:r w:rsidR="00602E35" w:rsidRPr="000D4A19">
            <w:rPr>
              <w:rFonts w:cs="Ebrima"/>
              <w:sz w:val="24"/>
              <w:szCs w:val="24"/>
              <w:lang w:val="en-GB"/>
            </w:rPr>
            <w:t xml:space="preserve"> or retire</w:t>
          </w:r>
          <w:r w:rsidR="00E86F12">
            <w:rPr>
              <w:rFonts w:cs="Ebrima"/>
              <w:sz w:val="24"/>
              <w:szCs w:val="24"/>
              <w:lang w:val="en-GB"/>
            </w:rPr>
            <w:t xml:space="preserve"> </w:t>
          </w:r>
          <w:r w:rsidR="00E86F12" w:rsidRPr="000D4A19">
            <w:rPr>
              <w:rFonts w:cs="Ebrima"/>
              <w:sz w:val="24"/>
              <w:szCs w:val="24"/>
              <w:lang w:val="en-GB"/>
            </w:rPr>
            <w:t>(50% to 100% of the salary of an official in that position for a period of six months to a year, depending on the duration of their time in office)</w:t>
          </w:r>
          <w:r w:rsidRPr="000D4A19">
            <w:rPr>
              <w:rFonts w:cs="Ebrima"/>
              <w:sz w:val="24"/>
              <w:szCs w:val="24"/>
              <w:lang w:val="en-GB"/>
            </w:rPr>
            <w:t>.</w:t>
          </w:r>
          <w:r w:rsidR="000371D6" w:rsidRPr="000D4A19">
            <w:rPr>
              <w:rStyle w:val="Referencafusnote"/>
              <w:rFonts w:cs="Ebrima"/>
              <w:sz w:val="24"/>
              <w:szCs w:val="24"/>
              <w:lang w:val="en-GB"/>
            </w:rPr>
            <w:footnoteReference w:id="27"/>
          </w:r>
          <w:r w:rsidRPr="000D4A19">
            <w:rPr>
              <w:rFonts w:cs="Ebrima"/>
              <w:sz w:val="24"/>
              <w:szCs w:val="24"/>
              <w:lang w:val="en-GB"/>
            </w:rPr>
            <w:t xml:space="preserve"> </w:t>
          </w:r>
        </w:p>
        <w:p w14:paraId="3C9534F0" w14:textId="77777777" w:rsidR="009919AC" w:rsidRPr="000D4A19" w:rsidRDefault="009919AC" w:rsidP="004B7CAB">
          <w:pPr>
            <w:spacing w:after="0" w:line="240" w:lineRule="auto"/>
            <w:jc w:val="both"/>
            <w:rPr>
              <w:rFonts w:cstheme="minorHAnsi"/>
              <w:sz w:val="24"/>
              <w:szCs w:val="24"/>
              <w:lang w:val="en-GB"/>
            </w:rPr>
          </w:pPr>
        </w:p>
        <w:p w14:paraId="431C9FBF" w14:textId="77777777" w:rsidR="009919AC" w:rsidRPr="000D4A19" w:rsidRDefault="009919AC" w:rsidP="00756FEC">
          <w:pPr>
            <w:pStyle w:val="Naslov2"/>
            <w:keepNext w:val="0"/>
            <w:keepLines w:val="0"/>
            <w:tabs>
              <w:tab w:val="left" w:pos="709"/>
            </w:tabs>
            <w:spacing w:before="0" w:line="240" w:lineRule="auto"/>
            <w:jc w:val="both"/>
            <w:rPr>
              <w:rFonts w:asciiTheme="minorHAnsi" w:hAnsiTheme="minorHAnsi"/>
              <w:color w:val="auto"/>
              <w:sz w:val="24"/>
              <w:szCs w:val="24"/>
              <w:u w:val="single"/>
              <w:lang w:val="en-GB"/>
            </w:rPr>
          </w:pPr>
          <w:bookmarkStart w:id="31" w:name="_Toc4762850"/>
          <w:bookmarkStart w:id="32" w:name="_Toc25229291"/>
          <w:r w:rsidRPr="000D4A19">
            <w:rPr>
              <w:rFonts w:asciiTheme="minorHAnsi" w:hAnsiTheme="minorHAnsi"/>
              <w:color w:val="auto"/>
              <w:sz w:val="24"/>
              <w:szCs w:val="24"/>
              <w:u w:val="single"/>
              <w:lang w:val="en-GB"/>
            </w:rPr>
            <w:t>Anticorruption and integrity policy, regulatory and institutional framework</w:t>
          </w:r>
          <w:bookmarkEnd w:id="31"/>
          <w:bookmarkEnd w:id="32"/>
        </w:p>
        <w:p w14:paraId="3C2943F2" w14:textId="77777777" w:rsidR="009919AC" w:rsidRPr="000D4A19" w:rsidRDefault="009919AC" w:rsidP="00756FEC">
          <w:pPr>
            <w:spacing w:after="0" w:line="240" w:lineRule="auto"/>
            <w:jc w:val="both"/>
            <w:rPr>
              <w:sz w:val="24"/>
              <w:szCs w:val="24"/>
              <w:lang w:val="en-GB"/>
            </w:rPr>
          </w:pPr>
          <w:bookmarkStart w:id="33" w:name="_Toc342554250"/>
          <w:bookmarkStart w:id="34" w:name="_Toc342640925"/>
        </w:p>
        <w:p w14:paraId="7DCBA7FC" w14:textId="174CAFC5" w:rsidR="00051311" w:rsidRPr="000D4A19" w:rsidRDefault="00051311" w:rsidP="00756FEC">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35" w:name="_Toc25229292"/>
          <w:r w:rsidRPr="000D4A19">
            <w:rPr>
              <w:rFonts w:asciiTheme="minorHAnsi" w:hAnsiTheme="minorHAnsi"/>
              <w:b w:val="0"/>
              <w:i/>
              <w:color w:val="auto"/>
              <w:sz w:val="24"/>
              <w:szCs w:val="24"/>
              <w:lang w:val="en-GB"/>
            </w:rPr>
            <w:t>Anticorruption and integrity policy</w:t>
          </w:r>
          <w:bookmarkEnd w:id="35"/>
        </w:p>
        <w:p w14:paraId="1620616D" w14:textId="0454197F" w:rsidR="009919AC" w:rsidRPr="000D4A19" w:rsidRDefault="009919AC" w:rsidP="00756FEC">
          <w:pPr>
            <w:spacing w:after="0" w:line="240" w:lineRule="auto"/>
            <w:jc w:val="both"/>
            <w:rPr>
              <w:rFonts w:cstheme="minorHAnsi"/>
              <w:i/>
              <w:sz w:val="24"/>
              <w:szCs w:val="24"/>
              <w:lang w:val="en-GB"/>
            </w:rPr>
          </w:pPr>
        </w:p>
        <w:p w14:paraId="698AFD9E" w14:textId="3C360917" w:rsidR="009919AC" w:rsidRPr="000D4A19" w:rsidRDefault="009919AC" w:rsidP="00756FEC">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sz w:val="24"/>
              <w:szCs w:val="24"/>
              <w:lang w:val="en-GB"/>
            </w:rPr>
            <w:t xml:space="preserve">On 27 February 2015, the </w:t>
          </w:r>
          <w:r w:rsidR="00F25C7A" w:rsidRPr="000D4A19">
            <w:rPr>
              <w:sz w:val="24"/>
              <w:szCs w:val="24"/>
              <w:lang w:val="en-GB"/>
            </w:rPr>
            <w:t xml:space="preserve">Parliament </w:t>
          </w:r>
          <w:r w:rsidRPr="000D4A19">
            <w:rPr>
              <w:sz w:val="24"/>
              <w:szCs w:val="24"/>
              <w:lang w:val="en-GB"/>
            </w:rPr>
            <w:t xml:space="preserve">adopted the </w:t>
          </w:r>
          <w:r w:rsidRPr="000D4A19">
            <w:rPr>
              <w:sz w:val="24"/>
              <w:szCs w:val="24"/>
              <w:u w:val="single"/>
              <w:lang w:val="en-GB"/>
            </w:rPr>
            <w:t>Strategy for Combating Corruption</w:t>
          </w:r>
          <w:r w:rsidRPr="000D4A19">
            <w:rPr>
              <w:sz w:val="24"/>
              <w:szCs w:val="24"/>
              <w:lang w:val="en-GB"/>
            </w:rPr>
            <w:t xml:space="preserve"> for the period 2015-2020 (Official Gazette No. 26/2015).</w:t>
          </w:r>
          <w:r w:rsidR="00353051" w:rsidRPr="000D4A19">
            <w:rPr>
              <w:sz w:val="24"/>
              <w:szCs w:val="24"/>
              <w:lang w:val="en-GB"/>
            </w:rPr>
            <w:t xml:space="preserve"> </w:t>
          </w:r>
          <w:r w:rsidRPr="000D4A19">
            <w:rPr>
              <w:sz w:val="24"/>
              <w:szCs w:val="24"/>
              <w:lang w:val="en-GB"/>
            </w:rPr>
            <w:t xml:space="preserve">The Strategy has seven horizontal strategic topics, which include “Integrity within the political system and administration”, “prevention of conflicts of interest” and “right to access information”, in addition to seven specific priority (sectoral) areas (i.e. the judiciary; economy agriculture; public finance; health; science, education and sport; infrastructure, environment and transport), proposing various measures to manage identified risks. </w:t>
          </w:r>
        </w:p>
        <w:p w14:paraId="14307722" w14:textId="77777777" w:rsidR="009919AC" w:rsidRPr="000D4A19" w:rsidRDefault="009919AC" w:rsidP="00756FEC">
          <w:pPr>
            <w:tabs>
              <w:tab w:val="left" w:pos="709"/>
            </w:tabs>
            <w:spacing w:after="0" w:line="240" w:lineRule="auto"/>
            <w:jc w:val="both"/>
            <w:rPr>
              <w:rFonts w:cstheme="minorHAnsi"/>
              <w:sz w:val="24"/>
              <w:szCs w:val="24"/>
              <w:lang w:val="en-GB"/>
            </w:rPr>
          </w:pPr>
        </w:p>
        <w:p w14:paraId="4A67B569" w14:textId="36E15A37" w:rsidR="00DD3BF1" w:rsidRPr="000D4A19" w:rsidRDefault="009919AC" w:rsidP="00756FEC">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sz w:val="24"/>
              <w:szCs w:val="24"/>
              <w:lang w:val="en-GB"/>
            </w:rPr>
            <w:t>Under the aforementioned horizontal strategic topics, it includes the following measures to be taken in the period</w:t>
          </w:r>
          <w:r w:rsidR="004B0860" w:rsidRPr="000D4A19">
            <w:rPr>
              <w:sz w:val="24"/>
              <w:szCs w:val="24"/>
              <w:lang w:val="en-GB"/>
            </w:rPr>
            <w:t xml:space="preserve"> 2015-2020</w:t>
          </w:r>
          <w:r w:rsidRPr="000D4A19">
            <w:rPr>
              <w:sz w:val="24"/>
              <w:szCs w:val="24"/>
              <w:lang w:val="en-GB"/>
            </w:rPr>
            <w:t xml:space="preserve">: </w:t>
          </w:r>
        </w:p>
        <w:p w14:paraId="028AC3B7" w14:textId="057FE681" w:rsidR="009919AC" w:rsidRPr="000D4A19" w:rsidRDefault="009919AC" w:rsidP="00645C71">
          <w:pPr>
            <w:numPr>
              <w:ilvl w:val="0"/>
              <w:numId w:val="24"/>
            </w:numPr>
            <w:tabs>
              <w:tab w:val="left" w:pos="709"/>
              <w:tab w:val="num" w:pos="8222"/>
            </w:tabs>
            <w:spacing w:after="0" w:line="240" w:lineRule="auto"/>
            <w:jc w:val="both"/>
            <w:rPr>
              <w:rFonts w:cstheme="minorHAnsi"/>
              <w:sz w:val="24"/>
              <w:szCs w:val="24"/>
              <w:lang w:val="en-GB"/>
            </w:rPr>
          </w:pPr>
          <w:r w:rsidRPr="000D4A19">
            <w:rPr>
              <w:rFonts w:cstheme="minorHAnsi"/>
              <w:sz w:val="24"/>
              <w:szCs w:val="24"/>
              <w:lang w:val="en-GB"/>
            </w:rPr>
            <w:t>Strengthening the integrity and accountability of holders of public functions in all branches of government (</w:t>
          </w:r>
          <w:r w:rsidRPr="000D4A19">
            <w:rPr>
              <w:rFonts w:cstheme="minorHAnsi"/>
              <w:i/>
              <w:sz w:val="24"/>
              <w:szCs w:val="24"/>
              <w:lang w:val="en-GB"/>
            </w:rPr>
            <w:t xml:space="preserve">inter alia </w:t>
          </w:r>
          <w:r w:rsidRPr="000D4A19">
            <w:rPr>
              <w:rFonts w:cstheme="minorHAnsi"/>
              <w:sz w:val="24"/>
              <w:szCs w:val="24"/>
              <w:lang w:val="en-GB"/>
            </w:rPr>
            <w:t>pointing out the necessity o</w:t>
          </w:r>
          <w:r w:rsidR="0038644A" w:rsidRPr="000D4A19">
            <w:rPr>
              <w:rFonts w:cstheme="minorHAnsi"/>
              <w:sz w:val="24"/>
              <w:szCs w:val="24"/>
              <w:lang w:val="en-GB"/>
            </w:rPr>
            <w:t>f</w:t>
          </w:r>
          <w:r w:rsidRPr="000D4A19">
            <w:rPr>
              <w:rFonts w:cstheme="minorHAnsi"/>
              <w:sz w:val="24"/>
              <w:szCs w:val="24"/>
              <w:lang w:val="en-GB"/>
            </w:rPr>
            <w:t xml:space="preserve"> strengthening ethical standards of – amongst others – members of the government and the President)</w:t>
          </w:r>
          <w:r w:rsidR="00D91236" w:rsidRPr="000D4A19">
            <w:rPr>
              <w:rFonts w:cstheme="minorHAnsi"/>
              <w:sz w:val="24"/>
              <w:szCs w:val="24"/>
              <w:lang w:val="en-GB"/>
            </w:rPr>
            <w:t>;</w:t>
          </w:r>
        </w:p>
        <w:p w14:paraId="2082E773" w14:textId="16C7B1C3" w:rsidR="009919AC" w:rsidRPr="000D4A19" w:rsidRDefault="009919AC" w:rsidP="00645C71">
          <w:pPr>
            <w:pStyle w:val="Odlomakpopisa"/>
            <w:numPr>
              <w:ilvl w:val="0"/>
              <w:numId w:val="24"/>
            </w:numPr>
            <w:spacing w:after="0" w:line="240" w:lineRule="auto"/>
            <w:jc w:val="both"/>
            <w:rPr>
              <w:sz w:val="24"/>
              <w:szCs w:val="24"/>
              <w:lang w:val="en-GB"/>
            </w:rPr>
          </w:pPr>
          <w:r w:rsidRPr="000D4A19">
            <w:rPr>
              <w:sz w:val="24"/>
              <w:szCs w:val="24"/>
              <w:lang w:val="en-GB"/>
            </w:rPr>
            <w:t>Regulating lobbying</w:t>
          </w:r>
          <w:r w:rsidR="00D91236" w:rsidRPr="000D4A19">
            <w:rPr>
              <w:sz w:val="24"/>
              <w:szCs w:val="24"/>
              <w:lang w:val="en-GB"/>
            </w:rPr>
            <w:t xml:space="preserve"> (which has not happened yet – see further in paragraph </w:t>
          </w:r>
          <w:r w:rsidR="00A7255A" w:rsidRPr="000D4A19">
            <w:rPr>
              <w:sz w:val="24"/>
              <w:szCs w:val="24"/>
              <w:highlight w:val="lightGray"/>
              <w:lang w:val="en-GB"/>
            </w:rPr>
            <w:t>5</w:t>
          </w:r>
          <w:r w:rsidR="00AF6FC2">
            <w:rPr>
              <w:sz w:val="24"/>
              <w:szCs w:val="24"/>
              <w:highlight w:val="lightGray"/>
              <w:lang w:val="en-GB"/>
            </w:rPr>
            <w:t>3</w:t>
          </w:r>
          <w:r w:rsidR="00D91236" w:rsidRPr="000D4A19">
            <w:rPr>
              <w:sz w:val="24"/>
              <w:szCs w:val="24"/>
              <w:lang w:val="en-GB"/>
            </w:rPr>
            <w:t xml:space="preserve"> below)</w:t>
          </w:r>
          <w:r w:rsidRPr="000D4A19">
            <w:rPr>
              <w:sz w:val="24"/>
              <w:szCs w:val="24"/>
              <w:lang w:val="en-GB"/>
            </w:rPr>
            <w:t>;</w:t>
          </w:r>
        </w:p>
        <w:p w14:paraId="3294C300" w14:textId="5E5DEAB1" w:rsidR="00F85342" w:rsidRPr="000D4A19" w:rsidRDefault="009919AC" w:rsidP="00645C71">
          <w:pPr>
            <w:pStyle w:val="Odlomakpopisa"/>
            <w:numPr>
              <w:ilvl w:val="0"/>
              <w:numId w:val="24"/>
            </w:numPr>
            <w:spacing w:after="0" w:line="240" w:lineRule="auto"/>
            <w:jc w:val="both"/>
            <w:rPr>
              <w:sz w:val="24"/>
              <w:szCs w:val="24"/>
              <w:lang w:val="en-GB"/>
            </w:rPr>
          </w:pPr>
          <w:r w:rsidRPr="000D4A19">
            <w:rPr>
              <w:sz w:val="24"/>
              <w:szCs w:val="24"/>
              <w:lang w:val="en-GB"/>
            </w:rPr>
            <w:t xml:space="preserve">Reinforcing the administrative and technical capacities of the Commission for the </w:t>
          </w:r>
          <w:r w:rsidR="00F85342" w:rsidRPr="000D4A19">
            <w:rPr>
              <w:sz w:val="24"/>
              <w:szCs w:val="24"/>
              <w:lang w:val="en-GB"/>
            </w:rPr>
            <w:t>Prevention</w:t>
          </w:r>
          <w:r w:rsidR="00DD3BF1" w:rsidRPr="000D4A19">
            <w:rPr>
              <w:sz w:val="24"/>
              <w:szCs w:val="24"/>
              <w:lang w:val="en-GB"/>
            </w:rPr>
            <w:t xml:space="preserve"> </w:t>
          </w:r>
          <w:r w:rsidRPr="000D4A19">
            <w:rPr>
              <w:sz w:val="24"/>
              <w:szCs w:val="24"/>
              <w:lang w:val="en-GB"/>
            </w:rPr>
            <w:t>of Conflicts of Interest, by further developing legal, technical and IT tools and setting up international and bilateral programmes of professional training</w:t>
          </w:r>
          <w:r w:rsidR="00D91236" w:rsidRPr="000D4A19">
            <w:rPr>
              <w:sz w:val="24"/>
              <w:szCs w:val="24"/>
              <w:lang w:val="en-GB"/>
            </w:rPr>
            <w:t xml:space="preserve">. The GET </w:t>
          </w:r>
          <w:r w:rsidR="00E86190" w:rsidRPr="000D4A19">
            <w:rPr>
              <w:sz w:val="24"/>
              <w:szCs w:val="24"/>
              <w:lang w:val="en-GB"/>
            </w:rPr>
            <w:t xml:space="preserve">was </w:t>
          </w:r>
          <w:r w:rsidR="00D91236" w:rsidRPr="000D4A19">
            <w:rPr>
              <w:sz w:val="24"/>
              <w:szCs w:val="24"/>
              <w:lang w:val="en-GB"/>
            </w:rPr>
            <w:t xml:space="preserve">informed </w:t>
          </w:r>
          <w:r w:rsidR="00F85342" w:rsidRPr="000D4A19">
            <w:rPr>
              <w:sz w:val="24"/>
              <w:szCs w:val="24"/>
              <w:lang w:val="en-GB"/>
            </w:rPr>
            <w:t xml:space="preserve">in this connection </w:t>
          </w:r>
          <w:r w:rsidR="004F0D27" w:rsidRPr="000D4A19">
            <w:rPr>
              <w:sz w:val="24"/>
              <w:szCs w:val="24"/>
              <w:lang w:val="en-GB"/>
            </w:rPr>
            <w:t>that</w:t>
          </w:r>
          <w:r w:rsidR="00F85342" w:rsidRPr="000D4A19">
            <w:rPr>
              <w:sz w:val="24"/>
              <w:szCs w:val="24"/>
              <w:lang w:val="en-GB"/>
            </w:rPr>
            <w:t xml:space="preserve"> a</w:t>
          </w:r>
          <w:r w:rsidR="00E86190" w:rsidRPr="000D4A19">
            <w:rPr>
              <w:sz w:val="24"/>
              <w:szCs w:val="24"/>
              <w:lang w:val="en-GB"/>
            </w:rPr>
            <w:t xml:space="preserve"> new IT system</w:t>
          </w:r>
          <w:r w:rsidR="00F85342" w:rsidRPr="000D4A19">
            <w:rPr>
              <w:sz w:val="24"/>
              <w:szCs w:val="24"/>
              <w:lang w:val="en-GB"/>
            </w:rPr>
            <w:t xml:space="preserve"> ha</w:t>
          </w:r>
          <w:r w:rsidR="00E86F12">
            <w:rPr>
              <w:sz w:val="24"/>
              <w:szCs w:val="24"/>
              <w:lang w:val="en-GB"/>
            </w:rPr>
            <w:t xml:space="preserve">s </w:t>
          </w:r>
          <w:r w:rsidR="00F85342" w:rsidRPr="000D4A19">
            <w:rPr>
              <w:sz w:val="24"/>
              <w:szCs w:val="24"/>
              <w:lang w:val="en-GB"/>
            </w:rPr>
            <w:t>indeed be</w:t>
          </w:r>
          <w:r w:rsidR="00E86F12">
            <w:rPr>
              <w:sz w:val="24"/>
              <w:szCs w:val="24"/>
              <w:lang w:val="en-GB"/>
            </w:rPr>
            <w:t>come operational</w:t>
          </w:r>
          <w:r w:rsidR="00F85342" w:rsidRPr="000D4A19">
            <w:rPr>
              <w:sz w:val="24"/>
              <w:szCs w:val="24"/>
              <w:lang w:val="en-GB"/>
            </w:rPr>
            <w:t xml:space="preserve">; </w:t>
          </w:r>
        </w:p>
        <w:p w14:paraId="6BD6CBDF" w14:textId="51D39296" w:rsidR="009919AC" w:rsidRPr="000D4A19" w:rsidRDefault="009919AC" w:rsidP="00645C71">
          <w:pPr>
            <w:pStyle w:val="Odlomakpopisa"/>
            <w:numPr>
              <w:ilvl w:val="0"/>
              <w:numId w:val="24"/>
            </w:numPr>
            <w:spacing w:after="0" w:line="240" w:lineRule="auto"/>
            <w:jc w:val="both"/>
            <w:rPr>
              <w:sz w:val="24"/>
              <w:szCs w:val="24"/>
              <w:lang w:val="en-GB"/>
            </w:rPr>
          </w:pPr>
          <w:r w:rsidRPr="000D4A19">
            <w:rPr>
              <w:sz w:val="24"/>
              <w:szCs w:val="24"/>
              <w:lang w:val="en-GB"/>
            </w:rPr>
            <w:t xml:space="preserve">Expanding the circle of officials covered by the </w:t>
          </w:r>
          <w:r w:rsidR="00B94195" w:rsidRPr="000D4A19">
            <w:rPr>
              <w:sz w:val="24"/>
              <w:szCs w:val="24"/>
              <w:lang w:val="en-GB"/>
            </w:rPr>
            <w:t xml:space="preserve">Law </w:t>
          </w:r>
          <w:r w:rsidRPr="000D4A19">
            <w:rPr>
              <w:sz w:val="24"/>
              <w:szCs w:val="24"/>
              <w:lang w:val="en-GB"/>
            </w:rPr>
            <w:t xml:space="preserve">on the Prevention of Conflicts of Interest to holders of public duties within public authorities or those who </w:t>
          </w:r>
          <w:r w:rsidR="004F0D27" w:rsidRPr="000D4A19">
            <w:rPr>
              <w:sz w:val="24"/>
              <w:szCs w:val="24"/>
              <w:lang w:val="en-GB"/>
            </w:rPr>
            <w:t>-</w:t>
          </w:r>
          <w:r w:rsidRPr="000D4A19">
            <w:rPr>
              <w:sz w:val="24"/>
              <w:szCs w:val="24"/>
              <w:lang w:val="en-GB"/>
            </w:rPr>
            <w:t xml:space="preserve"> because of the scope of their powers </w:t>
          </w:r>
          <w:r w:rsidR="004F0D27" w:rsidRPr="000D4A19">
            <w:rPr>
              <w:sz w:val="24"/>
              <w:szCs w:val="24"/>
              <w:lang w:val="en-GB"/>
            </w:rPr>
            <w:t xml:space="preserve">– are </w:t>
          </w:r>
          <w:r w:rsidRPr="000D4A19">
            <w:rPr>
              <w:sz w:val="24"/>
              <w:szCs w:val="24"/>
              <w:lang w:val="en-GB"/>
            </w:rPr>
            <w:t>at a higher risk of corruption</w:t>
          </w:r>
          <w:r w:rsidR="00B94195" w:rsidRPr="000D4A19">
            <w:rPr>
              <w:rStyle w:val="Referencafusnote"/>
              <w:sz w:val="24"/>
              <w:szCs w:val="24"/>
              <w:lang w:val="en-GB"/>
            </w:rPr>
            <w:footnoteReference w:id="28"/>
          </w:r>
          <w:r w:rsidRPr="000D4A19">
            <w:rPr>
              <w:sz w:val="24"/>
              <w:szCs w:val="24"/>
              <w:lang w:val="en-GB"/>
            </w:rPr>
            <w:t>;</w:t>
          </w:r>
        </w:p>
        <w:p w14:paraId="2A5814B6" w14:textId="3EF678A2" w:rsidR="009919AC" w:rsidRPr="000D4A19" w:rsidRDefault="009919AC" w:rsidP="00645C71">
          <w:pPr>
            <w:pStyle w:val="Odlomakpopisa"/>
            <w:numPr>
              <w:ilvl w:val="0"/>
              <w:numId w:val="24"/>
            </w:numPr>
            <w:spacing w:after="0" w:line="240" w:lineRule="auto"/>
            <w:jc w:val="both"/>
            <w:rPr>
              <w:sz w:val="24"/>
              <w:szCs w:val="24"/>
              <w:lang w:val="en-GB"/>
            </w:rPr>
          </w:pPr>
          <w:r w:rsidRPr="000D4A19">
            <w:rPr>
              <w:sz w:val="24"/>
              <w:szCs w:val="24"/>
              <w:lang w:val="en-GB"/>
            </w:rPr>
            <w:t>Strengthening mechanisms for the verification of the income status of public officials</w:t>
          </w:r>
          <w:r w:rsidR="00B94195" w:rsidRPr="000D4A19">
            <w:rPr>
              <w:sz w:val="24"/>
              <w:szCs w:val="24"/>
              <w:lang w:val="en-GB"/>
            </w:rPr>
            <w:t xml:space="preserve">, (which is planned to be taken up in the elaboration of a new draft Law on the Prevention of Conflicts of Interest in 2020); </w:t>
          </w:r>
          <w:r w:rsidR="004632D8" w:rsidRPr="000D4A19">
            <w:rPr>
              <w:sz w:val="24"/>
              <w:szCs w:val="24"/>
              <w:lang w:val="en-GB"/>
            </w:rPr>
            <w:t xml:space="preserve"> </w:t>
          </w:r>
        </w:p>
        <w:p w14:paraId="101F56C6" w14:textId="426189AF" w:rsidR="009919AC" w:rsidRPr="000D4A19" w:rsidRDefault="009919AC" w:rsidP="00645C71">
          <w:pPr>
            <w:pStyle w:val="Odlomakpopisa"/>
            <w:numPr>
              <w:ilvl w:val="0"/>
              <w:numId w:val="24"/>
            </w:numPr>
            <w:spacing w:after="0" w:line="240" w:lineRule="auto"/>
            <w:jc w:val="both"/>
            <w:rPr>
              <w:sz w:val="24"/>
              <w:szCs w:val="24"/>
              <w:lang w:val="en-GB"/>
            </w:rPr>
          </w:pPr>
          <w:r w:rsidRPr="000D4A19">
            <w:rPr>
              <w:sz w:val="24"/>
              <w:szCs w:val="24"/>
              <w:lang w:val="en-GB"/>
            </w:rPr>
            <w:t>Raising awareness on conflicts of interest among all categories and levels of officials covered by the provisions of the Law on the Prevention of Conflicts of Interest</w:t>
          </w:r>
          <w:r w:rsidR="004632D8" w:rsidRPr="000D4A19">
            <w:rPr>
              <w:sz w:val="24"/>
              <w:szCs w:val="24"/>
              <w:lang w:val="en-GB"/>
            </w:rPr>
            <w:t xml:space="preserve"> </w:t>
          </w:r>
          <w:r w:rsidR="00B94195" w:rsidRPr="000D4A19">
            <w:rPr>
              <w:sz w:val="24"/>
              <w:szCs w:val="24"/>
              <w:lang w:val="en-GB"/>
            </w:rPr>
            <w:t xml:space="preserve">(which is </w:t>
          </w:r>
          <w:r w:rsidR="009E6E54" w:rsidRPr="000D4A19">
            <w:rPr>
              <w:sz w:val="24"/>
              <w:szCs w:val="24"/>
              <w:lang w:val="en-GB"/>
            </w:rPr>
            <w:t xml:space="preserve">reportedly </w:t>
          </w:r>
          <w:r w:rsidR="00B94195" w:rsidRPr="000D4A19">
            <w:rPr>
              <w:sz w:val="24"/>
              <w:szCs w:val="24"/>
              <w:lang w:val="en-GB"/>
            </w:rPr>
            <w:t>also planned to be taken up when elaborating a new draft Law on the Prevention of Conflicts of Interest)</w:t>
          </w:r>
          <w:r w:rsidRPr="000D4A19">
            <w:rPr>
              <w:sz w:val="24"/>
              <w:szCs w:val="24"/>
              <w:lang w:val="en-GB"/>
            </w:rPr>
            <w:t xml:space="preserve">. </w:t>
          </w:r>
        </w:p>
        <w:p w14:paraId="479088CD" w14:textId="77777777" w:rsidR="00DD3BF1" w:rsidRPr="000D4A19" w:rsidRDefault="00DD3BF1" w:rsidP="00645C71">
          <w:pPr>
            <w:pStyle w:val="Odlomakpopisa"/>
            <w:spacing w:after="0" w:line="240" w:lineRule="auto"/>
            <w:jc w:val="both"/>
            <w:rPr>
              <w:sz w:val="24"/>
              <w:szCs w:val="24"/>
              <w:lang w:val="en-GB"/>
            </w:rPr>
          </w:pPr>
        </w:p>
        <w:p w14:paraId="4F386F61" w14:textId="54017AB7" w:rsidR="004632D8" w:rsidRPr="000D4A19" w:rsidRDefault="009919AC" w:rsidP="00645C71">
          <w:pPr>
            <w:numPr>
              <w:ilvl w:val="0"/>
              <w:numId w:val="1"/>
            </w:numPr>
            <w:tabs>
              <w:tab w:val="left" w:pos="709"/>
              <w:tab w:val="num" w:pos="1557"/>
              <w:tab w:val="num" w:pos="8222"/>
            </w:tabs>
            <w:spacing w:after="0" w:line="240" w:lineRule="auto"/>
            <w:ind w:left="0" w:firstLine="0"/>
            <w:jc w:val="both"/>
            <w:rPr>
              <w:sz w:val="24"/>
              <w:szCs w:val="24"/>
              <w:lang w:val="en-GB"/>
            </w:rPr>
          </w:pPr>
          <w:r w:rsidRPr="000D4A19">
            <w:rPr>
              <w:sz w:val="24"/>
              <w:szCs w:val="24"/>
              <w:lang w:val="en-GB"/>
            </w:rPr>
            <w:t xml:space="preserve">The Strategy </w:t>
          </w:r>
          <w:r w:rsidR="004632D8" w:rsidRPr="000D4A19">
            <w:rPr>
              <w:sz w:val="24"/>
              <w:szCs w:val="24"/>
              <w:lang w:val="en-GB"/>
            </w:rPr>
            <w:t xml:space="preserve">is being </w:t>
          </w:r>
          <w:r w:rsidRPr="000D4A19">
            <w:rPr>
              <w:sz w:val="24"/>
              <w:szCs w:val="24"/>
              <w:lang w:val="en-GB"/>
            </w:rPr>
            <w:t xml:space="preserve">implemented through </w:t>
          </w:r>
          <w:r w:rsidR="004632D8" w:rsidRPr="000D4A19">
            <w:rPr>
              <w:sz w:val="24"/>
              <w:szCs w:val="24"/>
              <w:lang w:val="en-GB"/>
            </w:rPr>
            <w:t xml:space="preserve">action plans, which are reviewed </w:t>
          </w:r>
          <w:r w:rsidRPr="000D4A19">
            <w:rPr>
              <w:sz w:val="24"/>
              <w:szCs w:val="24"/>
              <w:lang w:val="en-GB"/>
            </w:rPr>
            <w:t xml:space="preserve">every two years. </w:t>
          </w:r>
          <w:r w:rsidR="004632D8" w:rsidRPr="000D4A19">
            <w:rPr>
              <w:sz w:val="24"/>
              <w:szCs w:val="24"/>
              <w:lang w:val="en-GB"/>
            </w:rPr>
            <w:t xml:space="preserve">The latest Action Plan (2019-2020) was recently adopted and foresees </w:t>
          </w:r>
          <w:r w:rsidR="004632D8" w:rsidRPr="000D4A19">
            <w:rPr>
              <w:i/>
              <w:sz w:val="24"/>
              <w:szCs w:val="24"/>
              <w:lang w:val="en-GB"/>
            </w:rPr>
            <w:t>inter alia</w:t>
          </w:r>
          <w:r w:rsidR="004632D8" w:rsidRPr="000D4A19">
            <w:rPr>
              <w:sz w:val="24"/>
              <w:szCs w:val="24"/>
              <w:lang w:val="en-GB"/>
            </w:rPr>
            <w:t xml:space="preserve"> the drafting of an on-line manual for state officials on combating corruption, preventing conflicts of interest, public procurement, transparency and access to information, fiscal accountability (etc.), as well as training of employees of public administration bodies, evaluation (through a self-assessment tool) of local and regional self-government units, development of a one-stop shop for administrative services and the adoption of a Code of Conduct for MPs (following from GRECO’s Fourth Round Evaluation Report).</w:t>
          </w:r>
        </w:p>
        <w:p w14:paraId="37A81C7B" w14:textId="77777777" w:rsidR="009919AC" w:rsidRPr="000D4A19" w:rsidRDefault="009919AC" w:rsidP="004B7CAB">
          <w:pPr>
            <w:spacing w:after="0" w:line="240" w:lineRule="auto"/>
            <w:jc w:val="both"/>
            <w:rPr>
              <w:rFonts w:cstheme="minorHAnsi"/>
              <w:b/>
              <w:sz w:val="24"/>
              <w:szCs w:val="24"/>
              <w:lang w:val="en-GB"/>
            </w:rPr>
          </w:pPr>
        </w:p>
        <w:p w14:paraId="475973B3" w14:textId="60A6933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36" w:name="_Toc4762851"/>
          <w:bookmarkStart w:id="37" w:name="_Toc25229293"/>
          <w:r w:rsidRPr="000D4A19">
            <w:rPr>
              <w:rFonts w:asciiTheme="minorHAnsi" w:hAnsiTheme="minorHAnsi"/>
              <w:b w:val="0"/>
              <w:i/>
              <w:color w:val="auto"/>
              <w:sz w:val="24"/>
              <w:szCs w:val="24"/>
              <w:lang w:val="en-GB"/>
            </w:rPr>
            <w:t>Legal f</w:t>
          </w:r>
          <w:r w:rsidR="00873B76" w:rsidRPr="000D4A19">
            <w:rPr>
              <w:rFonts w:asciiTheme="minorHAnsi" w:hAnsiTheme="minorHAnsi"/>
              <w:b w:val="0"/>
              <w:i/>
              <w:color w:val="auto"/>
              <w:sz w:val="24"/>
              <w:szCs w:val="24"/>
              <w:lang w:val="en-GB"/>
            </w:rPr>
            <w:t>ramework</w:t>
          </w:r>
          <w:bookmarkEnd w:id="36"/>
          <w:bookmarkEnd w:id="37"/>
        </w:p>
        <w:p w14:paraId="4DB86BC6" w14:textId="77777777" w:rsidR="009919AC" w:rsidRPr="000D4A19" w:rsidRDefault="009919AC" w:rsidP="004B7CAB">
          <w:pPr>
            <w:spacing w:after="0" w:line="240" w:lineRule="auto"/>
            <w:jc w:val="both"/>
            <w:rPr>
              <w:rFonts w:cstheme="minorHAnsi"/>
              <w:sz w:val="24"/>
              <w:szCs w:val="24"/>
              <w:lang w:val="en-GB"/>
            </w:rPr>
          </w:pPr>
        </w:p>
        <w:p w14:paraId="370B6B4A" w14:textId="1138CA56" w:rsidR="009919AC" w:rsidRPr="000D4A19" w:rsidRDefault="00CC69DD" w:rsidP="00873B76">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A key component of </w:t>
          </w:r>
          <w:r w:rsidR="002000BD" w:rsidRPr="000D4A19">
            <w:rPr>
              <w:rFonts w:cstheme="minorHAnsi"/>
              <w:sz w:val="24"/>
              <w:szCs w:val="24"/>
              <w:lang w:val="en-GB"/>
            </w:rPr>
            <w:t xml:space="preserve">the </w:t>
          </w:r>
          <w:r w:rsidR="009919AC" w:rsidRPr="000D4A19">
            <w:rPr>
              <w:rFonts w:cstheme="minorHAnsi"/>
              <w:sz w:val="24"/>
              <w:szCs w:val="24"/>
              <w:lang w:val="en-GB"/>
            </w:rPr>
            <w:t xml:space="preserve">legal framework on integrity for PTEFs is the </w:t>
          </w:r>
          <w:r w:rsidR="009919AC" w:rsidRPr="000D4A19">
            <w:rPr>
              <w:rFonts w:cstheme="minorHAnsi"/>
              <w:sz w:val="24"/>
              <w:szCs w:val="24"/>
              <w:u w:val="single"/>
              <w:lang w:val="en-GB"/>
            </w:rPr>
            <w:t>Law on the Prevention of Conflicts of Interest</w:t>
          </w:r>
          <w:r w:rsidR="009919AC" w:rsidRPr="000D4A19">
            <w:rPr>
              <w:rFonts w:cstheme="minorHAnsi"/>
              <w:sz w:val="24"/>
              <w:szCs w:val="24"/>
              <w:lang w:val="en-GB"/>
            </w:rPr>
            <w:t xml:space="preserve"> (he</w:t>
          </w:r>
          <w:r w:rsidR="009D3A5F" w:rsidRPr="000D4A19">
            <w:rPr>
              <w:rFonts w:cstheme="minorHAnsi"/>
              <w:sz w:val="24"/>
              <w:szCs w:val="24"/>
              <w:lang w:val="en-GB"/>
            </w:rPr>
            <w:t xml:space="preserve">reafter LCI), </w:t>
          </w:r>
          <w:r w:rsidR="00B42751" w:rsidRPr="00715CBC">
            <w:rPr>
              <w:rFonts w:cstheme="minorHAnsi"/>
              <w:sz w:val="24"/>
              <w:szCs w:val="24"/>
              <w:lang w:val="en-GB"/>
            </w:rPr>
            <w:t>wh</w:t>
          </w:r>
          <w:r w:rsidR="00B42751">
            <w:rPr>
              <w:rFonts w:cstheme="minorHAnsi"/>
              <w:sz w:val="24"/>
              <w:szCs w:val="24"/>
              <w:lang w:val="en-GB"/>
            </w:rPr>
            <w:t xml:space="preserve">ich in its current version was </w:t>
          </w:r>
          <w:r w:rsidR="009D3A5F" w:rsidRPr="000D4A19">
            <w:rPr>
              <w:rFonts w:cstheme="minorHAnsi"/>
              <w:sz w:val="24"/>
              <w:szCs w:val="24"/>
              <w:lang w:val="en-GB"/>
            </w:rPr>
            <w:t>adopted in 20</w:t>
          </w:r>
          <w:r w:rsidR="00B42751">
            <w:rPr>
              <w:rFonts w:cstheme="minorHAnsi"/>
              <w:sz w:val="24"/>
              <w:szCs w:val="24"/>
              <w:lang w:val="en-GB"/>
            </w:rPr>
            <w:t>11</w:t>
          </w:r>
          <w:r w:rsidR="009D3A5F" w:rsidRPr="000D4A19">
            <w:rPr>
              <w:rFonts w:cstheme="minorHAnsi"/>
              <w:sz w:val="24"/>
              <w:szCs w:val="24"/>
              <w:lang w:val="en-GB"/>
            </w:rPr>
            <w:t xml:space="preserve"> and amended in 201</w:t>
          </w:r>
          <w:r w:rsidR="00B42751">
            <w:rPr>
              <w:rFonts w:cstheme="minorHAnsi"/>
              <w:sz w:val="24"/>
              <w:szCs w:val="24"/>
              <w:lang w:val="en-GB"/>
            </w:rPr>
            <w:t>2, 2015 and 2019</w:t>
          </w:r>
          <w:r w:rsidR="009D3A5F" w:rsidRPr="000D4A19">
            <w:rPr>
              <w:rFonts w:cstheme="minorHAnsi"/>
              <w:sz w:val="24"/>
              <w:szCs w:val="24"/>
              <w:lang w:val="en-GB"/>
            </w:rPr>
            <w:t>. The LCI</w:t>
          </w:r>
          <w:r w:rsidR="009919AC" w:rsidRPr="000D4A19">
            <w:rPr>
              <w:rFonts w:cstheme="minorHAnsi"/>
              <w:sz w:val="24"/>
              <w:szCs w:val="24"/>
              <w:lang w:val="en-GB"/>
            </w:rPr>
            <w:t xml:space="preserve"> applies to </w:t>
          </w:r>
          <w:r w:rsidR="009D3A5F" w:rsidRPr="000D4A19">
            <w:rPr>
              <w:rFonts w:cstheme="minorHAnsi"/>
              <w:sz w:val="24"/>
              <w:szCs w:val="24"/>
              <w:lang w:val="en-GB"/>
            </w:rPr>
            <w:t xml:space="preserve">a broad category of officials which includes </w:t>
          </w:r>
          <w:r w:rsidR="00873B76" w:rsidRPr="000D4A19">
            <w:rPr>
              <w:rFonts w:cstheme="minorHAnsi"/>
              <w:sz w:val="24"/>
              <w:szCs w:val="24"/>
              <w:lang w:val="en-GB"/>
            </w:rPr>
            <w:t xml:space="preserve">not only </w:t>
          </w:r>
          <w:r w:rsidR="009D3A5F" w:rsidRPr="000D4A19">
            <w:rPr>
              <w:rFonts w:cstheme="minorHAnsi"/>
              <w:sz w:val="24"/>
              <w:szCs w:val="24"/>
              <w:lang w:val="en-GB"/>
            </w:rPr>
            <w:t xml:space="preserve">the PTEFs mentioned </w:t>
          </w:r>
          <w:r w:rsidR="00873B76" w:rsidRPr="000D4A19">
            <w:rPr>
              <w:rFonts w:cstheme="minorHAnsi"/>
              <w:sz w:val="24"/>
              <w:szCs w:val="24"/>
              <w:lang w:val="en-GB"/>
            </w:rPr>
            <w:t xml:space="preserve">in </w:t>
          </w:r>
          <w:r w:rsidR="00873B76" w:rsidRPr="007A42EA">
            <w:rPr>
              <w:rFonts w:cstheme="minorHAnsi"/>
              <w:sz w:val="24"/>
              <w:szCs w:val="24"/>
              <w:lang w:val="en-GB"/>
            </w:rPr>
            <w:t xml:space="preserve">paragraphs </w:t>
          </w:r>
          <w:r w:rsidR="00E86F12" w:rsidRPr="007A42EA">
            <w:rPr>
              <w:rFonts w:cstheme="minorHAnsi"/>
              <w:sz w:val="24"/>
              <w:szCs w:val="24"/>
              <w:lang w:val="en-GB"/>
            </w:rPr>
            <w:t>2</w:t>
          </w:r>
          <w:r w:rsidR="00AF6FC2" w:rsidRPr="007A42EA">
            <w:rPr>
              <w:rFonts w:cstheme="minorHAnsi"/>
              <w:sz w:val="24"/>
              <w:szCs w:val="24"/>
              <w:lang w:val="en-GB"/>
            </w:rPr>
            <w:t>0</w:t>
          </w:r>
          <w:r w:rsidR="00E86F12" w:rsidRPr="007A42EA">
            <w:rPr>
              <w:rFonts w:cstheme="minorHAnsi"/>
              <w:sz w:val="24"/>
              <w:szCs w:val="24"/>
              <w:lang w:val="en-GB"/>
            </w:rPr>
            <w:t xml:space="preserve"> and 2</w:t>
          </w:r>
          <w:r w:rsidR="00AF6FC2" w:rsidRPr="007A42EA">
            <w:rPr>
              <w:rFonts w:cstheme="minorHAnsi"/>
              <w:sz w:val="24"/>
              <w:szCs w:val="24"/>
              <w:lang w:val="en-GB"/>
            </w:rPr>
            <w:t>4</w:t>
          </w:r>
          <w:r w:rsidR="00873B76" w:rsidRPr="007A42EA">
            <w:rPr>
              <w:rFonts w:cstheme="minorHAnsi"/>
              <w:sz w:val="24"/>
              <w:szCs w:val="24"/>
              <w:lang w:val="en-GB"/>
            </w:rPr>
            <w:t xml:space="preserve"> above</w:t>
          </w:r>
          <w:r w:rsidR="00873B76" w:rsidRPr="000D4A19">
            <w:rPr>
              <w:rFonts w:cstheme="minorHAnsi"/>
              <w:sz w:val="24"/>
              <w:szCs w:val="24"/>
              <w:lang w:val="en-GB"/>
            </w:rPr>
            <w:t xml:space="preserve"> but also </w:t>
          </w:r>
          <w:r w:rsidR="005E63F9" w:rsidRPr="000D4A19">
            <w:rPr>
              <w:rFonts w:cstheme="minorHAnsi"/>
              <w:sz w:val="24"/>
              <w:szCs w:val="24"/>
              <w:lang w:val="en-GB"/>
            </w:rPr>
            <w:t xml:space="preserve">the President, </w:t>
          </w:r>
          <w:r w:rsidR="00873B76" w:rsidRPr="000D4A19">
            <w:rPr>
              <w:rFonts w:cstheme="minorHAnsi"/>
              <w:sz w:val="24"/>
              <w:szCs w:val="24"/>
              <w:lang w:val="en-GB"/>
            </w:rPr>
            <w:t>MPs, judges at the Constitutional Court, the</w:t>
          </w:r>
          <w:r w:rsidR="005E63F9" w:rsidRPr="000D4A19">
            <w:rPr>
              <w:rFonts w:cstheme="minorHAnsi"/>
              <w:sz w:val="24"/>
              <w:szCs w:val="24"/>
              <w:lang w:val="en-GB"/>
            </w:rPr>
            <w:t xml:space="preserve"> Director General of the police</w:t>
          </w:r>
          <w:r w:rsidR="00873B76" w:rsidRPr="000D4A19">
            <w:rPr>
              <w:rFonts w:cstheme="minorHAnsi"/>
              <w:sz w:val="24"/>
              <w:szCs w:val="24"/>
              <w:lang w:val="en-GB"/>
            </w:rPr>
            <w:t>, mayors etc</w:t>
          </w:r>
          <w:r w:rsidR="009919AC" w:rsidRPr="000D4A19">
            <w:rPr>
              <w:rFonts w:cstheme="minorHAnsi"/>
              <w:sz w:val="24"/>
              <w:szCs w:val="24"/>
              <w:lang w:val="en-GB"/>
            </w:rPr>
            <w:t>.</w:t>
          </w:r>
          <w:r w:rsidR="009919AC" w:rsidRPr="000D4A19">
            <w:rPr>
              <w:rStyle w:val="Referencafusnote"/>
              <w:rFonts w:cstheme="minorHAnsi"/>
              <w:sz w:val="24"/>
              <w:szCs w:val="24"/>
              <w:lang w:val="en-GB"/>
            </w:rPr>
            <w:footnoteReference w:id="29"/>
          </w:r>
          <w:r w:rsidR="009919AC" w:rsidRPr="000D4A19">
            <w:rPr>
              <w:rFonts w:cstheme="minorHAnsi"/>
              <w:sz w:val="24"/>
              <w:szCs w:val="24"/>
              <w:lang w:val="en-GB"/>
            </w:rPr>
            <w:t xml:space="preserve"> The Law’s official aim is to “prevent conflict</w:t>
          </w:r>
          <w:r w:rsidR="00F85342" w:rsidRPr="000D4A19">
            <w:rPr>
              <w:rFonts w:cstheme="minorHAnsi"/>
              <w:sz w:val="24"/>
              <w:szCs w:val="24"/>
              <w:lang w:val="en-GB"/>
            </w:rPr>
            <w:t>s</w:t>
          </w:r>
          <w:r w:rsidR="009919AC" w:rsidRPr="000D4A19">
            <w:rPr>
              <w:rFonts w:cstheme="minorHAnsi"/>
              <w:sz w:val="24"/>
              <w:szCs w:val="24"/>
              <w:lang w:val="en-GB"/>
            </w:rPr>
            <w:t xml:space="preserve"> of interest in the exercise of public office, to prevent private matters from influencing decision-making in exercising public office, to strengthening integrity, objectivity, impartiality and transparency in exercising public office and to strengthen the trust of citizens in bodies vested with public authority” (article 1 of the Law). </w:t>
          </w:r>
        </w:p>
        <w:p w14:paraId="4C1FBFFD" w14:textId="77777777" w:rsidR="009919AC" w:rsidRPr="000D4A19" w:rsidRDefault="009919AC" w:rsidP="004B7CAB">
          <w:pPr>
            <w:tabs>
              <w:tab w:val="left" w:pos="709"/>
              <w:tab w:val="num" w:pos="8222"/>
            </w:tabs>
            <w:spacing w:after="0" w:line="240" w:lineRule="auto"/>
            <w:jc w:val="both"/>
            <w:rPr>
              <w:rFonts w:cstheme="minorHAnsi"/>
              <w:sz w:val="24"/>
              <w:szCs w:val="24"/>
              <w:lang w:val="en-GB"/>
            </w:rPr>
          </w:pPr>
        </w:p>
        <w:p w14:paraId="79151909" w14:textId="4AB6FA84"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The L</w:t>
          </w:r>
          <w:r w:rsidR="000D0F71" w:rsidRPr="000D4A19">
            <w:rPr>
              <w:rFonts w:cstheme="minorHAnsi"/>
              <w:sz w:val="24"/>
              <w:szCs w:val="24"/>
              <w:lang w:val="en-GB"/>
            </w:rPr>
            <w:t>CI</w:t>
          </w:r>
          <w:r w:rsidR="00966357" w:rsidRPr="000D4A19">
            <w:rPr>
              <w:rFonts w:cstheme="minorHAnsi"/>
              <w:sz w:val="24"/>
              <w:szCs w:val="24"/>
              <w:lang w:val="en-GB"/>
            </w:rPr>
            <w:t>,</w:t>
          </w:r>
          <w:r w:rsidRPr="000D4A19">
            <w:rPr>
              <w:rFonts w:cstheme="minorHAnsi"/>
              <w:sz w:val="24"/>
              <w:szCs w:val="24"/>
              <w:lang w:val="en-GB"/>
            </w:rPr>
            <w:t xml:space="preserve"> </w:t>
          </w:r>
          <w:r w:rsidRPr="000D4A19">
            <w:rPr>
              <w:rFonts w:cstheme="minorHAnsi"/>
              <w:i/>
              <w:sz w:val="24"/>
              <w:szCs w:val="24"/>
              <w:lang w:val="en-GB"/>
            </w:rPr>
            <w:t>inter alia</w:t>
          </w:r>
          <w:r w:rsidR="00966357" w:rsidRPr="000D4A19">
            <w:rPr>
              <w:rFonts w:cstheme="minorHAnsi"/>
              <w:i/>
              <w:sz w:val="24"/>
              <w:szCs w:val="24"/>
              <w:lang w:val="en-GB"/>
            </w:rPr>
            <w:t>,</w:t>
          </w:r>
          <w:r w:rsidRPr="000D4A19">
            <w:rPr>
              <w:rFonts w:cstheme="minorHAnsi"/>
              <w:sz w:val="24"/>
              <w:szCs w:val="24"/>
              <w:lang w:val="en-GB"/>
            </w:rPr>
            <w:t xml:space="preserve"> requires officials covered by the law to “act in an honourable, honest, conscientious, responsible and impartial manner”; prohibits them from using “public office for their personal gain or the gain of a person who is connected with them”, receiving or soliciting “benefits for exercising public office”, exerting “influence in obtaining jobs or contracts through public procurement” or using “an official position in any other manner to influence decisions of legislative, executive or judicial authorities in order to achieve person gain”. It also requires the officials concerned to submit </w:t>
          </w:r>
          <w:r w:rsidR="00BF182A">
            <w:rPr>
              <w:rFonts w:cstheme="minorHAnsi"/>
              <w:sz w:val="24"/>
              <w:szCs w:val="24"/>
              <w:lang w:val="en-GB"/>
            </w:rPr>
            <w:t>financial</w:t>
          </w:r>
          <w:r w:rsidRPr="000D4A19">
            <w:rPr>
              <w:rFonts w:cstheme="minorHAnsi"/>
              <w:sz w:val="24"/>
              <w:szCs w:val="24"/>
              <w:lang w:val="en-GB"/>
            </w:rPr>
            <w:t xml:space="preserve"> declarations, and contains further provisions on the receipt of gifts, incompatibilities</w:t>
          </w:r>
          <w:r w:rsidR="00E86F12">
            <w:rPr>
              <w:rFonts w:cstheme="minorHAnsi"/>
              <w:sz w:val="24"/>
              <w:szCs w:val="24"/>
              <w:lang w:val="en-GB"/>
            </w:rPr>
            <w:t xml:space="preserve"> and confidential information</w:t>
          </w:r>
          <w:r w:rsidRPr="000D4A19">
            <w:rPr>
              <w:rFonts w:cstheme="minorHAnsi"/>
              <w:sz w:val="24"/>
              <w:szCs w:val="24"/>
              <w:lang w:val="en-GB"/>
            </w:rPr>
            <w:t xml:space="preserve"> (</w:t>
          </w:r>
          <w:r w:rsidR="004B0860" w:rsidRPr="000D4A19">
            <w:rPr>
              <w:rFonts w:cstheme="minorHAnsi"/>
              <w:sz w:val="24"/>
              <w:szCs w:val="24"/>
              <w:lang w:val="en-GB"/>
            </w:rPr>
            <w:t>etc.</w:t>
          </w:r>
          <w:r w:rsidRPr="000D4A19">
            <w:rPr>
              <w:rFonts w:cstheme="minorHAnsi"/>
              <w:sz w:val="24"/>
              <w:szCs w:val="24"/>
              <w:lang w:val="en-GB"/>
            </w:rPr>
            <w:t>)</w:t>
          </w:r>
          <w:r w:rsidR="00A7255A" w:rsidRPr="000D4A19">
            <w:rPr>
              <w:rFonts w:cstheme="minorHAnsi"/>
              <w:sz w:val="24"/>
              <w:szCs w:val="24"/>
              <w:lang w:val="en-GB"/>
            </w:rPr>
            <w:t>.</w:t>
          </w:r>
          <w:r w:rsidRPr="000D4A19">
            <w:rPr>
              <w:rFonts w:cstheme="minorHAnsi"/>
              <w:sz w:val="24"/>
              <w:szCs w:val="24"/>
              <w:lang w:val="en-GB"/>
            </w:rPr>
            <w:t xml:space="preserve"> </w:t>
          </w:r>
        </w:p>
        <w:p w14:paraId="52B47448" w14:textId="77777777" w:rsidR="004B0860" w:rsidRPr="000D4A19" w:rsidRDefault="004B0860" w:rsidP="004B0860">
          <w:pPr>
            <w:tabs>
              <w:tab w:val="left" w:pos="709"/>
              <w:tab w:val="num" w:pos="8222"/>
            </w:tabs>
            <w:spacing w:after="0" w:line="240" w:lineRule="auto"/>
            <w:jc w:val="both"/>
            <w:rPr>
              <w:highlight w:val="yellow"/>
              <w:lang w:val="en-GB"/>
            </w:rPr>
          </w:pPr>
        </w:p>
        <w:p w14:paraId="6EC511DA" w14:textId="4F2B92BA" w:rsidR="004B0860" w:rsidRPr="000D4A19" w:rsidRDefault="004B0860" w:rsidP="004B0860">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During the on-site visit, the GET was made aware of plans to amend the LCI. It was not provided with a copy of the draft amendments, but it would seem that the proposals would have made the law weaker (in particular in relation to post-employment restrictions), which would be a worrying development.</w:t>
          </w:r>
          <w:r w:rsidRPr="000D4A19">
            <w:rPr>
              <w:rStyle w:val="Referencafusnote"/>
              <w:rFonts w:cstheme="minorHAnsi"/>
              <w:sz w:val="24"/>
              <w:szCs w:val="24"/>
              <w:lang w:val="en-GB"/>
            </w:rPr>
            <w:footnoteReference w:id="30"/>
          </w:r>
          <w:r w:rsidRPr="000D4A19">
            <w:rPr>
              <w:rFonts w:cstheme="minorHAnsi"/>
              <w:sz w:val="24"/>
              <w:szCs w:val="24"/>
              <w:lang w:val="en-GB"/>
            </w:rPr>
            <w:t xml:space="preserve"> Since then</w:t>
          </w:r>
          <w:r w:rsidR="00966357" w:rsidRPr="000D4A19">
            <w:rPr>
              <w:rFonts w:cstheme="minorHAnsi"/>
              <w:sz w:val="24"/>
              <w:szCs w:val="24"/>
              <w:lang w:val="en-GB"/>
            </w:rPr>
            <w:t>,</w:t>
          </w:r>
          <w:r w:rsidRPr="000D4A19">
            <w:rPr>
              <w:rFonts w:cstheme="minorHAnsi"/>
              <w:sz w:val="24"/>
              <w:szCs w:val="24"/>
              <w:lang w:val="en-GB"/>
            </w:rPr>
            <w:t xml:space="preserve"> these amendments have been shelved</w:t>
          </w:r>
          <w:r w:rsidR="003B78AE">
            <w:rPr>
              <w:rFonts w:cstheme="minorHAnsi"/>
              <w:sz w:val="24"/>
              <w:szCs w:val="24"/>
              <w:lang w:val="en-GB"/>
            </w:rPr>
            <w:t xml:space="preserve"> and only a small technical amendment was made to align the LCI with the new Law on the State Administration System</w:t>
          </w:r>
          <w:r w:rsidR="00E86F12">
            <w:rPr>
              <w:rFonts w:cstheme="minorHAnsi"/>
              <w:sz w:val="24"/>
              <w:szCs w:val="24"/>
              <w:lang w:val="en-GB"/>
            </w:rPr>
            <w:t xml:space="preserve"> (</w:t>
          </w:r>
          <w:r w:rsidR="003B78AE">
            <w:rPr>
              <w:rFonts w:cstheme="minorHAnsi"/>
              <w:sz w:val="24"/>
              <w:szCs w:val="24"/>
              <w:lang w:val="en-GB"/>
            </w:rPr>
            <w:t>which abolishe</w:t>
          </w:r>
          <w:r w:rsidR="00AA4F6D">
            <w:rPr>
              <w:rFonts w:cstheme="minorHAnsi"/>
              <w:sz w:val="24"/>
              <w:szCs w:val="24"/>
              <w:lang w:val="en-GB"/>
            </w:rPr>
            <w:t>s</w:t>
          </w:r>
          <w:r w:rsidR="003B78AE">
            <w:rPr>
              <w:rFonts w:cstheme="minorHAnsi"/>
              <w:sz w:val="24"/>
              <w:szCs w:val="24"/>
              <w:lang w:val="en-GB"/>
            </w:rPr>
            <w:t xml:space="preserve"> the position of </w:t>
          </w:r>
          <w:r w:rsidR="00AA4F6D">
            <w:rPr>
              <w:rFonts w:cstheme="minorHAnsi"/>
              <w:sz w:val="24"/>
              <w:szCs w:val="24"/>
              <w:lang w:val="en-GB"/>
            </w:rPr>
            <w:t>assistant</w:t>
          </w:r>
          <w:r w:rsidR="003B78AE">
            <w:rPr>
              <w:rFonts w:cstheme="minorHAnsi"/>
              <w:sz w:val="24"/>
              <w:szCs w:val="24"/>
              <w:lang w:val="en-GB"/>
            </w:rPr>
            <w:t xml:space="preserve"> minister). It</w:t>
          </w:r>
          <w:r w:rsidR="009E6E54" w:rsidRPr="000D4A19">
            <w:rPr>
              <w:rFonts w:cstheme="minorHAnsi"/>
              <w:sz w:val="24"/>
              <w:szCs w:val="24"/>
              <w:lang w:val="en-GB"/>
            </w:rPr>
            <w:t xml:space="preserve"> is planned to draft a completely new law, for which an </w:t>
          </w:r>
          <w:hyperlink r:id="rId23" w:history="1">
            <w:r w:rsidRPr="000D4A19">
              <w:rPr>
                <w:rStyle w:val="Hiperveza"/>
                <w:sz w:val="24"/>
                <w:szCs w:val="24"/>
                <w:lang w:val="en-GB"/>
              </w:rPr>
              <w:t>e-consultation</w:t>
            </w:r>
          </w:hyperlink>
          <w:r w:rsidRPr="000D4A19">
            <w:rPr>
              <w:sz w:val="24"/>
              <w:szCs w:val="24"/>
              <w:lang w:val="en-GB"/>
            </w:rPr>
            <w:t xml:space="preserve"> has been announced for 2020. The GET trusts that the recommendations contained in this report will be taken into account in the context of this process</w:t>
          </w:r>
          <w:r w:rsidR="009E6E54" w:rsidRPr="000D4A19">
            <w:rPr>
              <w:sz w:val="24"/>
              <w:szCs w:val="24"/>
              <w:lang w:val="en-GB"/>
            </w:rPr>
            <w:t xml:space="preserve"> and that the premise of the law will not be diluted</w:t>
          </w:r>
          <w:r w:rsidRPr="000D4A19">
            <w:rPr>
              <w:sz w:val="24"/>
              <w:szCs w:val="24"/>
              <w:lang w:val="en-GB"/>
            </w:rPr>
            <w:t>.</w:t>
          </w:r>
        </w:p>
        <w:p w14:paraId="358D3D6C" w14:textId="77777777" w:rsidR="002B24B1" w:rsidRDefault="002B24B1" w:rsidP="0001753C">
          <w:pPr>
            <w:pStyle w:val="Naslov3"/>
            <w:spacing w:before="0" w:line="240" w:lineRule="auto"/>
            <w:rPr>
              <w:rFonts w:asciiTheme="minorHAnsi" w:hAnsiTheme="minorHAnsi" w:cstheme="minorHAnsi"/>
              <w:b w:val="0"/>
              <w:i/>
              <w:color w:val="auto"/>
              <w:sz w:val="24"/>
              <w:szCs w:val="24"/>
              <w:lang w:val="en-GB"/>
            </w:rPr>
          </w:pPr>
        </w:p>
        <w:p w14:paraId="2227BB12" w14:textId="57FA39EE" w:rsidR="00AF6B24" w:rsidRPr="000D4A19" w:rsidRDefault="00AF6B24" w:rsidP="0001753C">
          <w:pPr>
            <w:pStyle w:val="Naslov3"/>
            <w:spacing w:before="0" w:line="240" w:lineRule="auto"/>
            <w:rPr>
              <w:rFonts w:asciiTheme="minorHAnsi" w:hAnsiTheme="minorHAnsi" w:cstheme="minorHAnsi"/>
              <w:b w:val="0"/>
              <w:i/>
              <w:color w:val="auto"/>
              <w:sz w:val="24"/>
              <w:szCs w:val="24"/>
              <w:lang w:val="en-GB"/>
            </w:rPr>
          </w:pPr>
          <w:bookmarkStart w:id="38" w:name="_Toc25229294"/>
          <w:r w:rsidRPr="000D4A19">
            <w:rPr>
              <w:rFonts w:asciiTheme="minorHAnsi" w:hAnsiTheme="minorHAnsi" w:cstheme="minorHAnsi"/>
              <w:b w:val="0"/>
              <w:i/>
              <w:color w:val="auto"/>
              <w:sz w:val="24"/>
              <w:szCs w:val="24"/>
              <w:lang w:val="en-GB"/>
            </w:rPr>
            <w:t>Ethical principles and rules of conduct</w:t>
          </w:r>
          <w:bookmarkEnd w:id="38"/>
        </w:p>
        <w:p w14:paraId="457ECA5B" w14:textId="77777777" w:rsidR="00AF6B24" w:rsidRPr="000D4A19" w:rsidRDefault="00AF6B24" w:rsidP="0001753C">
          <w:pPr>
            <w:spacing w:after="0" w:line="240" w:lineRule="auto"/>
            <w:jc w:val="both"/>
            <w:rPr>
              <w:rFonts w:cstheme="minorHAnsi"/>
              <w:sz w:val="24"/>
              <w:szCs w:val="24"/>
              <w:lang w:val="en-GB"/>
            </w:rPr>
          </w:pPr>
        </w:p>
        <w:p w14:paraId="6A93FF73" w14:textId="7BCF1E88" w:rsidR="00997C18" w:rsidRDefault="0080151D" w:rsidP="0001753C">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A Code of Ethics </w:t>
          </w:r>
          <w:r w:rsidR="0018231A" w:rsidRPr="000D4A19">
            <w:rPr>
              <w:rFonts w:cstheme="minorHAnsi"/>
              <w:sz w:val="24"/>
              <w:szCs w:val="24"/>
              <w:lang w:val="en-GB"/>
            </w:rPr>
            <w:t>is in place for civil servants</w:t>
          </w:r>
          <w:r w:rsidR="009A280B" w:rsidRPr="000D4A19">
            <w:rPr>
              <w:rFonts w:cstheme="minorHAnsi"/>
              <w:sz w:val="24"/>
              <w:szCs w:val="24"/>
              <w:lang w:val="en-GB"/>
            </w:rPr>
            <w:t xml:space="preserve"> (</w:t>
          </w:r>
          <w:r w:rsidR="0018231A" w:rsidRPr="000D4A19">
            <w:rPr>
              <w:rFonts w:cstheme="minorHAnsi"/>
              <w:sz w:val="24"/>
              <w:szCs w:val="24"/>
              <w:lang w:val="en-GB"/>
            </w:rPr>
            <w:t xml:space="preserve">in addition to the integrity </w:t>
          </w:r>
          <w:r w:rsidR="00873B76" w:rsidRPr="000D4A19">
            <w:rPr>
              <w:rFonts w:cstheme="minorHAnsi"/>
              <w:sz w:val="24"/>
              <w:szCs w:val="24"/>
              <w:lang w:val="en-GB"/>
            </w:rPr>
            <w:t>requirements of the Civil Servants</w:t>
          </w:r>
          <w:r w:rsidR="0018231A" w:rsidRPr="000D4A19">
            <w:rPr>
              <w:rFonts w:cstheme="minorHAnsi"/>
              <w:sz w:val="24"/>
              <w:szCs w:val="24"/>
              <w:lang w:val="en-GB"/>
            </w:rPr>
            <w:t xml:space="preserve"> Act</w:t>
          </w:r>
          <w:r w:rsidR="00873B76" w:rsidRPr="000D4A19">
            <w:rPr>
              <w:rFonts w:cstheme="minorHAnsi"/>
              <w:sz w:val="24"/>
              <w:szCs w:val="24"/>
              <w:lang w:val="en-GB"/>
            </w:rPr>
            <w:t xml:space="preserve">, </w:t>
          </w:r>
          <w:r w:rsidR="009A280B" w:rsidRPr="000D4A19">
            <w:rPr>
              <w:rFonts w:cstheme="minorHAnsi"/>
              <w:sz w:val="24"/>
              <w:szCs w:val="24"/>
              <w:lang w:val="en-GB"/>
            </w:rPr>
            <w:t xml:space="preserve">which will be further discussed </w:t>
          </w:r>
          <w:r w:rsidR="00873B76" w:rsidRPr="000D4A19">
            <w:rPr>
              <w:rFonts w:cstheme="minorHAnsi"/>
              <w:sz w:val="24"/>
              <w:szCs w:val="24"/>
              <w:lang w:val="en-GB"/>
            </w:rPr>
            <w:t>in the second part of this report on law enforcement)</w:t>
          </w:r>
          <w:r w:rsidR="004973C0" w:rsidRPr="000D4A19">
            <w:rPr>
              <w:rFonts w:cstheme="minorHAnsi"/>
              <w:sz w:val="24"/>
              <w:szCs w:val="24"/>
              <w:lang w:val="en-GB"/>
            </w:rPr>
            <w:t>, but not for PTEFs.</w:t>
          </w:r>
          <w:r w:rsidR="0018231A" w:rsidRPr="000D4A19">
            <w:rPr>
              <w:rFonts w:cstheme="minorHAnsi"/>
              <w:sz w:val="24"/>
              <w:szCs w:val="24"/>
              <w:lang w:val="en-GB"/>
            </w:rPr>
            <w:t xml:space="preserve"> </w:t>
          </w:r>
          <w:r w:rsidR="0006198D" w:rsidRPr="000D4A19">
            <w:rPr>
              <w:rFonts w:cstheme="minorHAnsi"/>
              <w:sz w:val="24"/>
              <w:szCs w:val="24"/>
              <w:lang w:val="en-GB"/>
            </w:rPr>
            <w:t xml:space="preserve">In </w:t>
          </w:r>
          <w:r w:rsidR="000A7FF4" w:rsidRPr="000D4A19">
            <w:rPr>
              <w:rFonts w:cstheme="minorHAnsi"/>
              <w:sz w:val="24"/>
              <w:szCs w:val="24"/>
              <w:lang w:val="en-GB"/>
            </w:rPr>
            <w:t xml:space="preserve">May 2017, the Ministry of Public Administration issued Guidelines for </w:t>
          </w:r>
          <w:r w:rsidR="0006198D" w:rsidRPr="000D4A19">
            <w:rPr>
              <w:rFonts w:cstheme="minorHAnsi"/>
              <w:sz w:val="24"/>
              <w:szCs w:val="24"/>
              <w:lang w:val="en-GB"/>
            </w:rPr>
            <w:t xml:space="preserve">Managing Conflict of Interest of Public Sector Employees, which includes a Manual for Managing Conflicts of Interest in the Public Sector. The GET was not provided with a copy of this manual, but was told that it </w:t>
          </w:r>
          <w:r w:rsidR="0006198D" w:rsidRPr="000D4A19">
            <w:rPr>
              <w:rFonts w:cstheme="minorHAnsi"/>
              <w:i/>
              <w:sz w:val="24"/>
              <w:szCs w:val="24"/>
              <w:lang w:val="en-GB"/>
            </w:rPr>
            <w:t xml:space="preserve">inter alia </w:t>
          </w:r>
          <w:r w:rsidR="0006198D" w:rsidRPr="000D4A19">
            <w:rPr>
              <w:rFonts w:cstheme="minorHAnsi"/>
              <w:sz w:val="24"/>
              <w:szCs w:val="24"/>
              <w:lang w:val="en-GB"/>
            </w:rPr>
            <w:t xml:space="preserve">requires public sector employees to behave in any situation as an example of integrity and would be applicable to PTEFs as well (even if the reference to “employees” would suggest otherwise). Furthermore, the 2019-2020 Action Plan for the Anti-Corruption Strategy foresees the development </w:t>
          </w:r>
          <w:r w:rsidR="00E86F12">
            <w:rPr>
              <w:rFonts w:cstheme="minorHAnsi"/>
              <w:sz w:val="24"/>
              <w:szCs w:val="24"/>
              <w:lang w:val="en-GB"/>
            </w:rPr>
            <w:t xml:space="preserve">in the second half of 2020 </w:t>
          </w:r>
          <w:r w:rsidR="0006198D" w:rsidRPr="000D4A19">
            <w:rPr>
              <w:rFonts w:cstheme="minorHAnsi"/>
              <w:sz w:val="24"/>
              <w:szCs w:val="24"/>
              <w:lang w:val="en-GB"/>
            </w:rPr>
            <w:t>of an on-line anti-corruption manual for state officials on combating corruption, preventing conflicts of interest, transparency and access to information, public procurement and fiscal responsibility</w:t>
          </w:r>
          <w:r w:rsidR="00997C18">
            <w:rPr>
              <w:rFonts w:cstheme="minorHAnsi"/>
              <w:sz w:val="24"/>
              <w:szCs w:val="24"/>
              <w:lang w:val="en-GB"/>
            </w:rPr>
            <w:t>.</w:t>
          </w:r>
        </w:p>
        <w:p w14:paraId="11F57EFA" w14:textId="2D2B20BF" w:rsidR="0006198D" w:rsidRPr="000D4A19" w:rsidRDefault="0006198D" w:rsidP="00CC7AD8">
          <w:pPr>
            <w:tabs>
              <w:tab w:val="left" w:pos="709"/>
              <w:tab w:val="num" w:pos="8222"/>
            </w:tabs>
            <w:spacing w:after="0" w:line="240" w:lineRule="auto"/>
            <w:jc w:val="both"/>
            <w:rPr>
              <w:rFonts w:cstheme="minorHAnsi"/>
              <w:sz w:val="24"/>
              <w:szCs w:val="24"/>
              <w:lang w:val="en-GB"/>
            </w:rPr>
          </w:pPr>
          <w:r w:rsidRPr="000D4A19">
            <w:rPr>
              <w:rFonts w:cstheme="minorHAnsi"/>
              <w:sz w:val="24"/>
              <w:szCs w:val="24"/>
              <w:lang w:val="en-GB"/>
            </w:rPr>
            <w:t xml:space="preserve"> </w:t>
          </w:r>
        </w:p>
        <w:p w14:paraId="487C8EA3" w14:textId="49ECB2D3" w:rsidR="000D0F71" w:rsidRPr="000D4A19" w:rsidRDefault="0018231A" w:rsidP="0001753C">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Even if there are binding (and to a certain extent enforceable – see </w:t>
          </w:r>
          <w:r w:rsidR="00023F7D">
            <w:rPr>
              <w:rFonts w:cstheme="minorHAnsi"/>
              <w:sz w:val="24"/>
              <w:szCs w:val="24"/>
              <w:lang w:val="en-GB"/>
            </w:rPr>
            <w:t>for</w:t>
          </w:r>
          <w:r w:rsidRPr="000D4A19">
            <w:rPr>
              <w:rFonts w:cstheme="minorHAnsi"/>
              <w:sz w:val="24"/>
              <w:szCs w:val="24"/>
              <w:lang w:val="en-GB"/>
            </w:rPr>
            <w:t xml:space="preserve"> the issues with this </w:t>
          </w:r>
          <w:r w:rsidRPr="007A42EA">
            <w:rPr>
              <w:rFonts w:cstheme="minorHAnsi"/>
              <w:sz w:val="24"/>
              <w:szCs w:val="24"/>
              <w:lang w:val="en-GB"/>
            </w:rPr>
            <w:t xml:space="preserve">paragraph </w:t>
          </w:r>
          <w:r w:rsidR="00E86F12" w:rsidRPr="007A42EA">
            <w:rPr>
              <w:rFonts w:cstheme="minorHAnsi"/>
              <w:sz w:val="24"/>
              <w:szCs w:val="24"/>
              <w:lang w:val="en-GB"/>
            </w:rPr>
            <w:t xml:space="preserve">92 and </w:t>
          </w:r>
          <w:r w:rsidRPr="007A42EA">
            <w:rPr>
              <w:rFonts w:cstheme="minorHAnsi"/>
              <w:sz w:val="24"/>
              <w:szCs w:val="24"/>
              <w:lang w:val="en-GB"/>
            </w:rPr>
            <w:t>further</w:t>
          </w:r>
          <w:r w:rsidR="004973C0" w:rsidRPr="007A42EA">
            <w:rPr>
              <w:rFonts w:cstheme="minorHAnsi"/>
              <w:sz w:val="24"/>
              <w:szCs w:val="24"/>
              <w:lang w:val="en-GB"/>
            </w:rPr>
            <w:t>)</w:t>
          </w:r>
          <w:r w:rsidR="004973C0" w:rsidRPr="000D4A19">
            <w:rPr>
              <w:rFonts w:cstheme="minorHAnsi"/>
              <w:sz w:val="24"/>
              <w:szCs w:val="24"/>
              <w:lang w:val="en-GB"/>
            </w:rPr>
            <w:t xml:space="preserve"> integrity standards for PTEFs in place, the GET finds</w:t>
          </w:r>
          <w:r w:rsidR="009A280B" w:rsidRPr="000D4A19">
            <w:rPr>
              <w:rFonts w:cstheme="minorHAnsi"/>
              <w:sz w:val="24"/>
              <w:szCs w:val="24"/>
              <w:lang w:val="en-GB"/>
            </w:rPr>
            <w:t xml:space="preserve"> the fact that the central level currently lacks a stand-alone code a missed opportunity</w:t>
          </w:r>
          <w:r w:rsidR="00F82CC1" w:rsidRPr="000D4A19">
            <w:rPr>
              <w:rFonts w:cstheme="minorHAnsi"/>
              <w:sz w:val="24"/>
              <w:szCs w:val="24"/>
              <w:lang w:val="en-GB"/>
            </w:rPr>
            <w:t xml:space="preserve">. </w:t>
          </w:r>
          <w:r w:rsidR="007C3175" w:rsidRPr="000D4A19">
            <w:rPr>
              <w:rFonts w:cstheme="minorHAnsi"/>
              <w:sz w:val="24"/>
              <w:szCs w:val="24"/>
              <w:lang w:val="en-GB"/>
            </w:rPr>
            <w:t xml:space="preserve">The GET sees much benefit in a code of conduct applying specifically to PTEFS, covering all pertinent issues (conflicts of interest, incompatibilities, gifts, contacts with third parties seeking to influence decision-making, post-employment restrictions, </w:t>
          </w:r>
          <w:r w:rsidR="00BF182A">
            <w:rPr>
              <w:rFonts w:cstheme="minorHAnsi"/>
              <w:sz w:val="24"/>
              <w:szCs w:val="24"/>
              <w:lang w:val="en-GB"/>
            </w:rPr>
            <w:t>financial</w:t>
          </w:r>
          <w:r w:rsidR="007C3175" w:rsidRPr="000D4A19">
            <w:rPr>
              <w:rFonts w:cstheme="minorHAnsi"/>
              <w:sz w:val="24"/>
              <w:szCs w:val="24"/>
              <w:lang w:val="en-GB"/>
            </w:rPr>
            <w:t xml:space="preserve"> declarations, the use of confidential information etc.) supplemented with detailed guidance containing concrete examples connected to government work. Such a document would have a dual purpose in providing a clear overview to PTEFs of </w:t>
          </w:r>
          <w:r w:rsidR="00370D9D" w:rsidRPr="000D4A19">
            <w:rPr>
              <w:rFonts w:cstheme="minorHAnsi"/>
              <w:sz w:val="24"/>
              <w:szCs w:val="24"/>
              <w:lang w:val="en-GB"/>
            </w:rPr>
            <w:t xml:space="preserve">integrity standards in place </w:t>
          </w:r>
          <w:r w:rsidR="007C3175" w:rsidRPr="000D4A19">
            <w:rPr>
              <w:rFonts w:cstheme="minorHAnsi"/>
              <w:sz w:val="24"/>
              <w:szCs w:val="24"/>
              <w:lang w:val="en-GB"/>
            </w:rPr>
            <w:t xml:space="preserve">(with </w:t>
          </w:r>
          <w:r w:rsidR="00370D9D" w:rsidRPr="000D4A19">
            <w:rPr>
              <w:rFonts w:cstheme="minorHAnsi"/>
              <w:sz w:val="24"/>
              <w:szCs w:val="24"/>
              <w:lang w:val="en-GB"/>
            </w:rPr>
            <w:t xml:space="preserve">appropriate </w:t>
          </w:r>
          <w:r w:rsidR="007C3175" w:rsidRPr="000D4A19">
            <w:rPr>
              <w:rFonts w:cstheme="minorHAnsi"/>
              <w:sz w:val="24"/>
              <w:szCs w:val="24"/>
              <w:lang w:val="en-GB"/>
            </w:rPr>
            <w:t xml:space="preserve">guidance) </w:t>
          </w:r>
          <w:r w:rsidR="00370D9D" w:rsidRPr="000D4A19">
            <w:rPr>
              <w:rFonts w:cstheme="minorHAnsi"/>
              <w:sz w:val="24"/>
              <w:szCs w:val="24"/>
              <w:lang w:val="en-GB"/>
            </w:rPr>
            <w:t>while at the same time clarifying to the public what conduct should be expected from PTEFs. Furthermore, it is also important to hold PTEFs to account in case of breach of these standards to ensure their effectiveness</w:t>
          </w:r>
          <w:r w:rsidR="00966357" w:rsidRPr="000D4A19">
            <w:rPr>
              <w:rFonts w:cstheme="minorHAnsi"/>
              <w:sz w:val="24"/>
              <w:szCs w:val="24"/>
              <w:lang w:val="en-GB"/>
            </w:rPr>
            <w:t>.</w:t>
          </w:r>
          <w:r w:rsidR="00C23879" w:rsidRPr="000D4A19">
            <w:rPr>
              <w:rFonts w:cstheme="minorHAnsi"/>
              <w:sz w:val="24"/>
              <w:szCs w:val="24"/>
              <w:lang w:val="en-GB"/>
            </w:rPr>
            <w:t xml:space="preserve"> </w:t>
          </w:r>
          <w:r w:rsidR="00966357" w:rsidRPr="000D4A19">
            <w:rPr>
              <w:rFonts w:cstheme="minorHAnsi"/>
              <w:sz w:val="24"/>
              <w:szCs w:val="24"/>
              <w:lang w:val="en-GB"/>
            </w:rPr>
            <w:t>S</w:t>
          </w:r>
          <w:r w:rsidR="00370D9D" w:rsidRPr="000D4A19">
            <w:rPr>
              <w:rFonts w:cstheme="minorHAnsi"/>
              <w:sz w:val="24"/>
              <w:szCs w:val="24"/>
              <w:lang w:val="en-GB"/>
            </w:rPr>
            <w:t xml:space="preserve">uch a code would thus need to be coupled with some form of enforcement, in line with GRECO’s standard practice. In light of the foregoing, </w:t>
          </w:r>
          <w:r w:rsidR="005E63F9" w:rsidRPr="000D4A19">
            <w:rPr>
              <w:rFonts w:cstheme="minorHAnsi"/>
              <w:b/>
              <w:sz w:val="24"/>
              <w:szCs w:val="24"/>
              <w:lang w:val="en-GB"/>
            </w:rPr>
            <w:t xml:space="preserve">GRECO recommends </w:t>
          </w:r>
          <w:bookmarkStart w:id="39" w:name="_Hlk26535608"/>
          <w:bookmarkStart w:id="40" w:name="_Hlk22745437"/>
          <w:r w:rsidR="000D0F71" w:rsidRPr="000D4A19">
            <w:rPr>
              <w:rFonts w:cstheme="minorHAnsi"/>
              <w:b/>
              <w:sz w:val="24"/>
              <w:szCs w:val="24"/>
              <w:lang w:val="en-GB"/>
            </w:rPr>
            <w:t xml:space="preserve">(i) </w:t>
          </w:r>
          <w:r w:rsidR="00E01D55" w:rsidRPr="000D4A19">
            <w:rPr>
              <w:rFonts w:cstheme="minorHAnsi"/>
              <w:b/>
              <w:sz w:val="24"/>
              <w:szCs w:val="24"/>
              <w:lang w:val="en-GB"/>
            </w:rPr>
            <w:t>that a</w:t>
          </w:r>
          <w:r w:rsidR="005E63F9" w:rsidRPr="000D4A19">
            <w:rPr>
              <w:rFonts w:cstheme="minorHAnsi"/>
              <w:b/>
              <w:sz w:val="24"/>
              <w:szCs w:val="24"/>
              <w:lang w:val="en-GB"/>
            </w:rPr>
            <w:t xml:space="preserve"> </w:t>
          </w:r>
          <w:r w:rsidR="00E01D55" w:rsidRPr="000D4A19">
            <w:rPr>
              <w:rFonts w:cstheme="minorHAnsi"/>
              <w:b/>
              <w:sz w:val="24"/>
              <w:szCs w:val="24"/>
              <w:lang w:val="en-GB"/>
            </w:rPr>
            <w:t xml:space="preserve">code of conduct for persons with top executive functions be adopted, complemented with </w:t>
          </w:r>
          <w:r w:rsidR="00F04F05" w:rsidRPr="000D4A19">
            <w:rPr>
              <w:rFonts w:cstheme="minorHAnsi"/>
              <w:b/>
              <w:sz w:val="24"/>
              <w:szCs w:val="24"/>
              <w:lang w:val="en-GB"/>
            </w:rPr>
            <w:t xml:space="preserve">clear </w:t>
          </w:r>
          <w:r w:rsidR="00E01D55" w:rsidRPr="000D4A19">
            <w:rPr>
              <w:rFonts w:cstheme="minorHAnsi"/>
              <w:b/>
              <w:sz w:val="24"/>
              <w:szCs w:val="24"/>
              <w:lang w:val="en-GB"/>
            </w:rPr>
            <w:t xml:space="preserve">guidance regarding conflicts of interest and other integrity-related matters (e.g. gifts, outside activities, third party contacts, post-employment restrictions, </w:t>
          </w:r>
          <w:r w:rsidR="00BF182A">
            <w:rPr>
              <w:rFonts w:cstheme="minorHAnsi"/>
              <w:b/>
              <w:sz w:val="24"/>
              <w:szCs w:val="24"/>
              <w:lang w:val="en-GB"/>
            </w:rPr>
            <w:t>financial</w:t>
          </w:r>
          <w:r w:rsidR="00E01D55" w:rsidRPr="000D4A19">
            <w:rPr>
              <w:rFonts w:cstheme="minorHAnsi"/>
              <w:b/>
              <w:sz w:val="24"/>
              <w:szCs w:val="24"/>
              <w:lang w:val="en-GB"/>
            </w:rPr>
            <w:t xml:space="preserve"> declarations, handling of confidential information etc.)</w:t>
          </w:r>
          <w:r w:rsidR="000D0F71" w:rsidRPr="000D4A19">
            <w:rPr>
              <w:rFonts w:cstheme="minorHAnsi"/>
              <w:b/>
              <w:sz w:val="24"/>
              <w:szCs w:val="24"/>
              <w:lang w:val="en-GB"/>
            </w:rPr>
            <w:t xml:space="preserve"> and (ii) that such a code be coupled with a mechanism of supervision and enforcement</w:t>
          </w:r>
          <w:bookmarkEnd w:id="39"/>
          <w:r w:rsidR="000D0F71" w:rsidRPr="000D4A19">
            <w:rPr>
              <w:rFonts w:cstheme="minorHAnsi"/>
              <w:b/>
              <w:sz w:val="24"/>
              <w:szCs w:val="24"/>
              <w:lang w:val="en-GB"/>
            </w:rPr>
            <w:t xml:space="preserve">. </w:t>
          </w:r>
          <w:r w:rsidR="00E01D55" w:rsidRPr="000D4A19">
            <w:rPr>
              <w:rFonts w:cstheme="minorHAnsi"/>
              <w:b/>
              <w:sz w:val="24"/>
              <w:szCs w:val="24"/>
              <w:lang w:val="en-GB"/>
            </w:rPr>
            <w:t xml:space="preserve"> </w:t>
          </w:r>
          <w:bookmarkEnd w:id="40"/>
        </w:p>
        <w:p w14:paraId="7F4817EE" w14:textId="77777777" w:rsidR="000D0F71" w:rsidRPr="000D4A19" w:rsidRDefault="000D0F71" w:rsidP="004B7CAB">
          <w:pPr>
            <w:spacing w:after="0" w:line="240" w:lineRule="auto"/>
            <w:jc w:val="both"/>
            <w:rPr>
              <w:rFonts w:cstheme="minorHAnsi"/>
              <w:sz w:val="24"/>
              <w:szCs w:val="24"/>
              <w:lang w:val="en-GB"/>
            </w:rPr>
          </w:pPr>
        </w:p>
        <w:p w14:paraId="667CA6CF"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41" w:name="_Toc4762852"/>
          <w:bookmarkStart w:id="42" w:name="_Toc25229295"/>
          <w:r w:rsidRPr="000D4A19">
            <w:rPr>
              <w:rFonts w:asciiTheme="minorHAnsi" w:hAnsiTheme="minorHAnsi"/>
              <w:b w:val="0"/>
              <w:i/>
              <w:color w:val="auto"/>
              <w:sz w:val="24"/>
              <w:szCs w:val="24"/>
              <w:lang w:val="en-GB"/>
            </w:rPr>
            <w:t>Institutional framework</w:t>
          </w:r>
          <w:bookmarkEnd w:id="41"/>
          <w:bookmarkEnd w:id="42"/>
        </w:p>
        <w:p w14:paraId="57185114" w14:textId="77777777" w:rsidR="009919AC" w:rsidRPr="000D4A19" w:rsidRDefault="009919AC" w:rsidP="004B7CAB">
          <w:pPr>
            <w:spacing w:after="0" w:line="240" w:lineRule="auto"/>
            <w:jc w:val="both"/>
            <w:rPr>
              <w:rFonts w:cstheme="minorHAnsi"/>
              <w:sz w:val="24"/>
              <w:szCs w:val="24"/>
              <w:lang w:val="en-GB"/>
            </w:rPr>
          </w:pPr>
        </w:p>
        <w:p w14:paraId="5AEB4C19" w14:textId="77777777"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Croatia does not have a dedicated entity responsible for preventing corruption and promoting integrity, but a network of authorities contribute to policy-making and preventing corruption, across all branches of power. The Anti-Corruption Sector in the </w:t>
          </w:r>
          <w:r w:rsidRPr="000D4A19">
            <w:rPr>
              <w:rFonts w:cstheme="minorHAnsi"/>
              <w:sz w:val="24"/>
              <w:szCs w:val="24"/>
              <w:u w:val="single"/>
              <w:lang w:val="en-GB"/>
            </w:rPr>
            <w:t>Ministry of Justice</w:t>
          </w:r>
          <w:r w:rsidRPr="000D4A19">
            <w:rPr>
              <w:rFonts w:cstheme="minorHAnsi"/>
              <w:sz w:val="24"/>
              <w:szCs w:val="24"/>
              <w:lang w:val="en-GB"/>
            </w:rPr>
            <w:t xml:space="preserve"> co-ordinates the development, implementation and monitoring of the implementation of national strategic documents related to the prevention of corruption. In addition, the </w:t>
          </w:r>
          <w:r w:rsidRPr="000D4A19">
            <w:rPr>
              <w:rFonts w:cstheme="minorHAnsi"/>
              <w:sz w:val="24"/>
              <w:szCs w:val="24"/>
              <w:u w:val="single"/>
              <w:lang w:val="en-GB"/>
            </w:rPr>
            <w:t>Committee for the Prevention of Corruption</w:t>
          </w:r>
          <w:r w:rsidRPr="000D4A19">
            <w:rPr>
              <w:rFonts w:cstheme="minorHAnsi"/>
              <w:sz w:val="24"/>
              <w:szCs w:val="24"/>
              <w:lang w:val="en-GB"/>
            </w:rPr>
            <w:t xml:space="preserve">, a governmental advisory body composed of relevant public institutions and civil society organisations, is involved with monitoring the implementation of national anti-corruption instruments, which is complemented at the parliamentary level by the </w:t>
          </w:r>
          <w:r w:rsidRPr="000D4A19">
            <w:rPr>
              <w:rFonts w:cstheme="minorHAnsi"/>
              <w:sz w:val="24"/>
              <w:szCs w:val="24"/>
              <w:u w:val="single"/>
              <w:lang w:val="en-GB"/>
            </w:rPr>
            <w:t>National Council for Monitoring the Anti-Corruption Strategy Implementation</w:t>
          </w:r>
          <w:r w:rsidRPr="000D4A19">
            <w:rPr>
              <w:rFonts w:cstheme="minorHAnsi"/>
              <w:sz w:val="24"/>
              <w:szCs w:val="24"/>
              <w:lang w:val="en-GB"/>
            </w:rPr>
            <w:t xml:space="preserve">. </w:t>
          </w:r>
        </w:p>
        <w:p w14:paraId="0FD34123" w14:textId="77777777" w:rsidR="009919AC" w:rsidRPr="000D4A19" w:rsidRDefault="009919AC" w:rsidP="004B7CAB">
          <w:pPr>
            <w:spacing w:after="0" w:line="240" w:lineRule="auto"/>
            <w:jc w:val="both"/>
            <w:rPr>
              <w:rFonts w:cstheme="minorHAnsi"/>
              <w:sz w:val="24"/>
              <w:szCs w:val="24"/>
              <w:lang w:val="en-GB"/>
            </w:rPr>
          </w:pPr>
        </w:p>
        <w:p w14:paraId="36769E54" w14:textId="4F4A66A8" w:rsidR="009919AC" w:rsidRPr="007A42EA" w:rsidRDefault="009919AC"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Furthermore, a network of specialised institutions contribute to the prevention of corruption, which include the abovementioned </w:t>
          </w:r>
          <w:r w:rsidR="00F85342" w:rsidRPr="000D4A19">
            <w:rPr>
              <w:rFonts w:cstheme="minorHAnsi"/>
              <w:sz w:val="24"/>
              <w:szCs w:val="24"/>
              <w:u w:val="single"/>
              <w:lang w:val="en-GB"/>
            </w:rPr>
            <w:t xml:space="preserve">Commission for the Prevention </w:t>
          </w:r>
          <w:r w:rsidRPr="000D4A19">
            <w:rPr>
              <w:rFonts w:cstheme="minorHAnsi"/>
              <w:sz w:val="24"/>
              <w:szCs w:val="24"/>
              <w:u w:val="single"/>
              <w:lang w:val="en-GB"/>
            </w:rPr>
            <w:t>of Conflicts of Interest</w:t>
          </w:r>
          <w:r w:rsidRPr="000D4A19">
            <w:rPr>
              <w:rFonts w:cstheme="minorHAnsi"/>
              <w:sz w:val="24"/>
              <w:szCs w:val="24"/>
              <w:lang w:val="en-GB"/>
            </w:rPr>
            <w:t xml:space="preserve"> (see </w:t>
          </w:r>
          <w:r w:rsidRPr="007A42EA">
            <w:rPr>
              <w:rFonts w:cstheme="minorHAnsi"/>
              <w:sz w:val="24"/>
              <w:szCs w:val="24"/>
              <w:lang w:val="en-GB"/>
            </w:rPr>
            <w:t>paragraph</w:t>
          </w:r>
          <w:r w:rsidR="00A7255A" w:rsidRPr="007A42EA">
            <w:rPr>
              <w:rFonts w:cstheme="minorHAnsi"/>
              <w:sz w:val="24"/>
              <w:szCs w:val="24"/>
              <w:lang w:val="en-GB"/>
            </w:rPr>
            <w:t xml:space="preserve"> </w:t>
          </w:r>
          <w:r w:rsidR="00E86F12" w:rsidRPr="007A42EA">
            <w:rPr>
              <w:rFonts w:cstheme="minorHAnsi"/>
              <w:sz w:val="24"/>
              <w:szCs w:val="24"/>
              <w:lang w:val="en-GB"/>
            </w:rPr>
            <w:t>83</w:t>
          </w:r>
          <w:r w:rsidR="00A7255A" w:rsidRPr="007A42EA">
            <w:rPr>
              <w:rFonts w:cstheme="minorHAnsi"/>
              <w:sz w:val="24"/>
              <w:szCs w:val="24"/>
              <w:lang w:val="en-GB"/>
            </w:rPr>
            <w:t xml:space="preserve"> and further</w:t>
          </w:r>
          <w:r w:rsidRPr="007A42EA">
            <w:rPr>
              <w:rFonts w:cstheme="minorHAnsi"/>
              <w:sz w:val="24"/>
              <w:szCs w:val="24"/>
              <w:lang w:val="en-GB"/>
            </w:rPr>
            <w:t xml:space="preserve"> below), which focuses </w:t>
          </w:r>
          <w:r w:rsidR="000D0F71" w:rsidRPr="007A42EA">
            <w:rPr>
              <w:rFonts w:cstheme="minorHAnsi"/>
              <w:i/>
              <w:sz w:val="24"/>
              <w:szCs w:val="24"/>
              <w:lang w:val="en-GB"/>
            </w:rPr>
            <w:t xml:space="preserve">inter alia </w:t>
          </w:r>
          <w:r w:rsidRPr="007A42EA">
            <w:rPr>
              <w:rFonts w:cstheme="minorHAnsi"/>
              <w:sz w:val="24"/>
              <w:szCs w:val="24"/>
              <w:lang w:val="en-GB"/>
            </w:rPr>
            <w:t xml:space="preserve">on PTEFs (while – as will be outlined in the part on law enforcement further below – the so-called Ethics Officers are mainly concerned with civil servants), the </w:t>
          </w:r>
          <w:r w:rsidRPr="007A42EA">
            <w:rPr>
              <w:rFonts w:cstheme="minorHAnsi"/>
              <w:sz w:val="24"/>
              <w:szCs w:val="24"/>
              <w:u w:val="single"/>
              <w:lang w:val="en-GB"/>
            </w:rPr>
            <w:t>Information Commissioner</w:t>
          </w:r>
          <w:r w:rsidRPr="007A42EA">
            <w:rPr>
              <w:rFonts w:cstheme="minorHAnsi"/>
              <w:sz w:val="24"/>
              <w:szCs w:val="24"/>
              <w:lang w:val="en-GB"/>
            </w:rPr>
            <w:t xml:space="preserve">, which protects, monitors and promotes the right to access to information </w:t>
          </w:r>
          <w:r w:rsidR="00CC6EA9" w:rsidRPr="007A42EA">
            <w:rPr>
              <w:rFonts w:cstheme="minorHAnsi"/>
              <w:sz w:val="24"/>
              <w:szCs w:val="24"/>
              <w:lang w:val="en-GB"/>
            </w:rPr>
            <w:t xml:space="preserve">- </w:t>
          </w:r>
          <w:r w:rsidRPr="007A42EA">
            <w:rPr>
              <w:rFonts w:cstheme="minorHAnsi"/>
              <w:sz w:val="24"/>
              <w:szCs w:val="24"/>
              <w:lang w:val="en-GB"/>
            </w:rPr>
            <w:t>guaranteed by the Constitution</w:t>
          </w:r>
          <w:r w:rsidR="00CC6EA9" w:rsidRPr="007A42EA">
            <w:rPr>
              <w:rFonts w:cstheme="minorHAnsi"/>
              <w:sz w:val="24"/>
              <w:szCs w:val="24"/>
              <w:lang w:val="en-GB"/>
            </w:rPr>
            <w:t xml:space="preserve"> -</w:t>
          </w:r>
          <w:r w:rsidRPr="007A42EA">
            <w:rPr>
              <w:rFonts w:cstheme="minorHAnsi"/>
              <w:sz w:val="24"/>
              <w:szCs w:val="24"/>
              <w:lang w:val="en-GB"/>
            </w:rPr>
            <w:t xml:space="preserve"> and to reuse this information (see further paragraphs </w:t>
          </w:r>
          <w:r w:rsidR="00A7255A" w:rsidRPr="007A42EA">
            <w:rPr>
              <w:rFonts w:cstheme="minorHAnsi"/>
              <w:sz w:val="24"/>
              <w:szCs w:val="24"/>
              <w:lang w:val="en-GB"/>
            </w:rPr>
            <w:t>4</w:t>
          </w:r>
          <w:r w:rsidR="00D245DB">
            <w:rPr>
              <w:rFonts w:cstheme="minorHAnsi"/>
              <w:sz w:val="24"/>
              <w:szCs w:val="24"/>
              <w:lang w:val="en-GB"/>
            </w:rPr>
            <w:t>7-51</w:t>
          </w:r>
          <w:r w:rsidRPr="007A42EA">
            <w:rPr>
              <w:rFonts w:cstheme="minorHAnsi"/>
              <w:sz w:val="24"/>
              <w:szCs w:val="24"/>
              <w:lang w:val="en-GB"/>
            </w:rPr>
            <w:t xml:space="preserve"> below) </w:t>
          </w:r>
        </w:p>
        <w:p w14:paraId="7FA4C258" w14:textId="77777777" w:rsidR="009919AC" w:rsidRPr="000D4A19" w:rsidRDefault="009919AC" w:rsidP="004B7CAB">
          <w:pPr>
            <w:tabs>
              <w:tab w:val="left" w:pos="709"/>
            </w:tabs>
            <w:spacing w:after="0" w:line="240" w:lineRule="auto"/>
            <w:jc w:val="both"/>
            <w:rPr>
              <w:rFonts w:cstheme="minorHAnsi"/>
              <w:sz w:val="24"/>
              <w:szCs w:val="24"/>
              <w:lang w:val="en-GB"/>
            </w:rPr>
          </w:pPr>
        </w:p>
        <w:p w14:paraId="6EC0B542"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43" w:name="_Toc4762853"/>
          <w:bookmarkStart w:id="44" w:name="_Toc25229296"/>
          <w:r w:rsidRPr="000D4A19">
            <w:rPr>
              <w:rFonts w:asciiTheme="minorHAnsi" w:hAnsiTheme="minorHAnsi"/>
              <w:b w:val="0"/>
              <w:i/>
              <w:color w:val="auto"/>
              <w:sz w:val="24"/>
              <w:szCs w:val="24"/>
              <w:lang w:val="en-GB"/>
            </w:rPr>
            <w:t>Awareness</w:t>
          </w:r>
          <w:bookmarkEnd w:id="43"/>
          <w:bookmarkEnd w:id="44"/>
        </w:p>
        <w:p w14:paraId="71F69897" w14:textId="77777777" w:rsidR="009919AC" w:rsidRPr="000D4A19" w:rsidRDefault="009919AC" w:rsidP="004B7CAB">
          <w:pPr>
            <w:spacing w:after="0" w:line="240" w:lineRule="auto"/>
            <w:jc w:val="both"/>
            <w:rPr>
              <w:rFonts w:cstheme="minorHAnsi"/>
              <w:b/>
              <w:sz w:val="24"/>
              <w:szCs w:val="24"/>
              <w:u w:val="single"/>
              <w:lang w:val="en-GB"/>
            </w:rPr>
          </w:pPr>
        </w:p>
        <w:p w14:paraId="1C48BD30" w14:textId="4E816614"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The Commission for the </w:t>
          </w:r>
          <w:r w:rsidR="00F85342" w:rsidRPr="000D4A19">
            <w:rPr>
              <w:rFonts w:cstheme="minorHAnsi"/>
              <w:sz w:val="24"/>
              <w:szCs w:val="24"/>
              <w:lang w:val="en-GB"/>
            </w:rPr>
            <w:t>Prevention</w:t>
          </w:r>
          <w:r w:rsidR="005E63F9" w:rsidRPr="000D4A19">
            <w:rPr>
              <w:rFonts w:cstheme="minorHAnsi"/>
              <w:sz w:val="24"/>
              <w:szCs w:val="24"/>
              <w:lang w:val="en-GB"/>
            </w:rPr>
            <w:t xml:space="preserve"> </w:t>
          </w:r>
          <w:r w:rsidRPr="000D4A19">
            <w:rPr>
              <w:rFonts w:cstheme="minorHAnsi"/>
              <w:sz w:val="24"/>
              <w:szCs w:val="24"/>
              <w:lang w:val="en-GB"/>
            </w:rPr>
            <w:t>of Conflict</w:t>
          </w:r>
          <w:r w:rsidR="009A280B" w:rsidRPr="000D4A19">
            <w:rPr>
              <w:rFonts w:cstheme="minorHAnsi"/>
              <w:sz w:val="24"/>
              <w:szCs w:val="24"/>
              <w:lang w:val="en-GB"/>
            </w:rPr>
            <w:t xml:space="preserve"> of Interest</w:t>
          </w:r>
          <w:r w:rsidRPr="000D4A19">
            <w:rPr>
              <w:rFonts w:cstheme="minorHAnsi"/>
              <w:sz w:val="24"/>
              <w:szCs w:val="24"/>
              <w:lang w:val="en-GB"/>
            </w:rPr>
            <w:t xml:space="preserve"> </w:t>
          </w:r>
          <w:r w:rsidR="00F823C0" w:rsidRPr="000D4A19">
            <w:rPr>
              <w:rFonts w:cstheme="minorHAnsi"/>
              <w:sz w:val="24"/>
              <w:szCs w:val="24"/>
              <w:lang w:val="en-GB"/>
            </w:rPr>
            <w:t xml:space="preserve">is tasked </w:t>
          </w:r>
          <w:r w:rsidR="00CC6EA9" w:rsidRPr="000D4A19">
            <w:rPr>
              <w:rFonts w:cstheme="minorHAnsi"/>
              <w:sz w:val="24"/>
              <w:szCs w:val="24"/>
              <w:lang w:val="en-GB"/>
            </w:rPr>
            <w:t>with</w:t>
          </w:r>
          <w:r w:rsidR="00F823C0" w:rsidRPr="000D4A19">
            <w:rPr>
              <w:rFonts w:cstheme="minorHAnsi"/>
              <w:sz w:val="24"/>
              <w:szCs w:val="24"/>
              <w:lang w:val="en-GB"/>
            </w:rPr>
            <w:t xml:space="preserve"> develop</w:t>
          </w:r>
          <w:r w:rsidR="00CC6EA9" w:rsidRPr="000D4A19">
            <w:rPr>
              <w:rFonts w:cstheme="minorHAnsi"/>
              <w:sz w:val="24"/>
              <w:szCs w:val="24"/>
              <w:lang w:val="en-GB"/>
            </w:rPr>
            <w:t>ing</w:t>
          </w:r>
          <w:r w:rsidRPr="000D4A19">
            <w:rPr>
              <w:rFonts w:cstheme="minorHAnsi"/>
              <w:sz w:val="24"/>
              <w:szCs w:val="24"/>
              <w:lang w:val="en-GB"/>
            </w:rPr>
            <w:t xml:space="preserve"> guidelines and instructions for officials covered by the LCI and </w:t>
          </w:r>
          <w:r w:rsidR="00F823C0" w:rsidRPr="000D4A19">
            <w:rPr>
              <w:rFonts w:cstheme="minorHAnsi"/>
              <w:sz w:val="24"/>
              <w:szCs w:val="24"/>
              <w:lang w:val="en-GB"/>
            </w:rPr>
            <w:t>conduct</w:t>
          </w:r>
          <w:r w:rsidR="00CC6EA9" w:rsidRPr="000D4A19">
            <w:rPr>
              <w:rFonts w:cstheme="minorHAnsi"/>
              <w:sz w:val="24"/>
              <w:szCs w:val="24"/>
              <w:lang w:val="en-GB"/>
            </w:rPr>
            <w:t>ing</w:t>
          </w:r>
          <w:r w:rsidRPr="000D4A19">
            <w:rPr>
              <w:rFonts w:cstheme="minorHAnsi"/>
              <w:sz w:val="24"/>
              <w:szCs w:val="24"/>
              <w:lang w:val="en-GB"/>
            </w:rPr>
            <w:t xml:space="preserve"> training on the prevention of conflicts of interest and the requirements of the LCI for </w:t>
          </w:r>
          <w:r w:rsidR="00F823C0" w:rsidRPr="000D4A19">
            <w:rPr>
              <w:rFonts w:cstheme="minorHAnsi"/>
              <w:sz w:val="24"/>
              <w:szCs w:val="24"/>
              <w:lang w:val="en-GB"/>
            </w:rPr>
            <w:t>officials covered by the LCI (</w:t>
          </w:r>
          <w:r w:rsidRPr="000D4A19">
            <w:rPr>
              <w:rFonts w:cstheme="minorHAnsi"/>
              <w:sz w:val="24"/>
              <w:szCs w:val="24"/>
              <w:lang w:val="en-GB"/>
            </w:rPr>
            <w:t xml:space="preserve">Article 30, LCI). Apart from publishing the guidelines and instructions on the Commission’s website, they are also sent electronically to the officials covered by the Law. Furthermore, the Commission </w:t>
          </w:r>
          <w:r w:rsidR="004C06D5" w:rsidRPr="000D4A19">
            <w:rPr>
              <w:rFonts w:cstheme="minorHAnsi"/>
              <w:sz w:val="24"/>
              <w:szCs w:val="24"/>
              <w:lang w:val="en-GB"/>
            </w:rPr>
            <w:t xml:space="preserve">can </w:t>
          </w:r>
          <w:r w:rsidRPr="000D4A19">
            <w:rPr>
              <w:rFonts w:cstheme="minorHAnsi"/>
              <w:sz w:val="24"/>
              <w:szCs w:val="24"/>
              <w:lang w:val="en-GB"/>
            </w:rPr>
            <w:t>also provide</w:t>
          </w:r>
          <w:r w:rsidR="004C06D5" w:rsidRPr="000D4A19">
            <w:rPr>
              <w:rFonts w:cstheme="minorHAnsi"/>
              <w:sz w:val="24"/>
              <w:szCs w:val="24"/>
              <w:lang w:val="en-GB"/>
            </w:rPr>
            <w:t xml:space="preserve"> an opinion</w:t>
          </w:r>
          <w:r w:rsidRPr="000D4A19">
            <w:rPr>
              <w:rFonts w:cstheme="minorHAnsi"/>
              <w:sz w:val="24"/>
              <w:szCs w:val="24"/>
              <w:lang w:val="en-GB"/>
            </w:rPr>
            <w:t xml:space="preserve"> to officials </w:t>
          </w:r>
          <w:r w:rsidR="004C06D5" w:rsidRPr="000D4A19">
            <w:rPr>
              <w:rFonts w:cstheme="minorHAnsi"/>
              <w:sz w:val="24"/>
              <w:szCs w:val="24"/>
              <w:lang w:val="en-GB"/>
            </w:rPr>
            <w:t xml:space="preserve">upon </w:t>
          </w:r>
          <w:r w:rsidR="001068AD" w:rsidRPr="000D4A19">
            <w:rPr>
              <w:rFonts w:cstheme="minorHAnsi"/>
              <w:sz w:val="24"/>
              <w:szCs w:val="24"/>
              <w:lang w:val="en-GB"/>
            </w:rPr>
            <w:t xml:space="preserve">request </w:t>
          </w:r>
          <w:r w:rsidR="004C06D5" w:rsidRPr="000D4A19">
            <w:rPr>
              <w:rFonts w:cstheme="minorHAnsi"/>
              <w:sz w:val="24"/>
              <w:szCs w:val="24"/>
              <w:lang w:val="en-GB"/>
            </w:rPr>
            <w:t xml:space="preserve">as to whether their conduct “complies with the principles of public office” </w:t>
          </w:r>
          <w:r w:rsidR="00517DA6" w:rsidRPr="000D4A19">
            <w:rPr>
              <w:rFonts w:cstheme="minorHAnsi"/>
              <w:sz w:val="24"/>
              <w:szCs w:val="24"/>
              <w:lang w:val="en-GB"/>
            </w:rPr>
            <w:t xml:space="preserve">(which is notably broader than a conflict of interests) </w:t>
          </w:r>
          <w:r w:rsidRPr="000D4A19">
            <w:rPr>
              <w:rFonts w:cstheme="minorHAnsi"/>
              <w:sz w:val="24"/>
              <w:szCs w:val="24"/>
              <w:lang w:val="en-GB"/>
            </w:rPr>
            <w:t xml:space="preserve">(Article 6, LCI). </w:t>
          </w:r>
        </w:p>
        <w:p w14:paraId="159428CB" w14:textId="77777777" w:rsidR="003121AE" w:rsidRPr="000D4A19" w:rsidRDefault="003121AE" w:rsidP="003121AE">
          <w:pPr>
            <w:tabs>
              <w:tab w:val="num" w:pos="8222"/>
            </w:tabs>
            <w:spacing w:after="0" w:line="240" w:lineRule="auto"/>
            <w:jc w:val="both"/>
            <w:rPr>
              <w:rFonts w:cstheme="minorHAnsi"/>
              <w:sz w:val="24"/>
              <w:szCs w:val="24"/>
              <w:lang w:val="en-GB"/>
            </w:rPr>
          </w:pPr>
        </w:p>
        <w:p w14:paraId="5B6B516A" w14:textId="189516F5" w:rsidR="00BE34DF" w:rsidRPr="000D4A19" w:rsidRDefault="003121AE" w:rsidP="00BE34DF">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The GET learned on-site that</w:t>
          </w:r>
          <w:r w:rsidR="00CC6EA9" w:rsidRPr="000D4A19">
            <w:rPr>
              <w:rFonts w:cstheme="minorHAnsi"/>
              <w:sz w:val="24"/>
              <w:szCs w:val="24"/>
              <w:lang w:val="en-GB"/>
            </w:rPr>
            <w:t>,</w:t>
          </w:r>
          <w:r w:rsidRPr="000D4A19">
            <w:rPr>
              <w:rFonts w:cstheme="minorHAnsi"/>
              <w:sz w:val="24"/>
              <w:szCs w:val="24"/>
              <w:lang w:val="en-GB"/>
            </w:rPr>
            <w:t xml:space="preserve"> following</w:t>
          </w:r>
          <w:r w:rsidR="005E63F9" w:rsidRPr="000D4A19">
            <w:rPr>
              <w:rFonts w:cstheme="minorHAnsi"/>
              <w:sz w:val="24"/>
              <w:szCs w:val="24"/>
              <w:lang w:val="en-GB"/>
            </w:rPr>
            <w:t xml:space="preserve"> the</w:t>
          </w:r>
          <w:r w:rsidRPr="000D4A19">
            <w:rPr>
              <w:rFonts w:cstheme="minorHAnsi"/>
              <w:sz w:val="24"/>
              <w:szCs w:val="24"/>
              <w:lang w:val="en-GB"/>
            </w:rPr>
            <w:t xml:space="preserve"> elections</w:t>
          </w:r>
          <w:r w:rsidR="00CC6EA9" w:rsidRPr="000D4A19">
            <w:rPr>
              <w:rFonts w:cstheme="minorHAnsi"/>
              <w:sz w:val="24"/>
              <w:szCs w:val="24"/>
              <w:lang w:val="en-GB"/>
            </w:rPr>
            <w:t>,</w:t>
          </w:r>
          <w:r w:rsidRPr="000D4A19">
            <w:rPr>
              <w:rFonts w:cstheme="minorHAnsi"/>
              <w:sz w:val="24"/>
              <w:szCs w:val="24"/>
              <w:lang w:val="en-GB"/>
            </w:rPr>
            <w:t xml:space="preserve"> the Commission </w:t>
          </w:r>
          <w:r w:rsidR="00CC6EA9" w:rsidRPr="000D4A19">
            <w:rPr>
              <w:rFonts w:cstheme="minorHAnsi"/>
              <w:sz w:val="24"/>
              <w:szCs w:val="24"/>
              <w:lang w:val="en-GB"/>
            </w:rPr>
            <w:t xml:space="preserve">had </w:t>
          </w:r>
          <w:r w:rsidR="005E63F9" w:rsidRPr="000D4A19">
            <w:rPr>
              <w:rFonts w:cstheme="minorHAnsi"/>
              <w:sz w:val="24"/>
              <w:szCs w:val="24"/>
              <w:lang w:val="en-GB"/>
            </w:rPr>
            <w:t xml:space="preserve">sent </w:t>
          </w:r>
          <w:r w:rsidRPr="000D4A19">
            <w:rPr>
              <w:rFonts w:cstheme="minorHAnsi"/>
              <w:sz w:val="24"/>
              <w:szCs w:val="24"/>
              <w:lang w:val="en-GB"/>
            </w:rPr>
            <w:t xml:space="preserve">a letter of congratulations to </w:t>
          </w:r>
          <w:r w:rsidR="00171EB9" w:rsidRPr="000D4A19">
            <w:rPr>
              <w:rFonts w:cstheme="minorHAnsi"/>
              <w:sz w:val="24"/>
              <w:szCs w:val="24"/>
              <w:lang w:val="en-GB"/>
            </w:rPr>
            <w:t>the new government</w:t>
          </w:r>
          <w:r w:rsidR="00CC6EA9" w:rsidRPr="000D4A19">
            <w:rPr>
              <w:rFonts w:cstheme="minorHAnsi"/>
              <w:sz w:val="24"/>
              <w:szCs w:val="24"/>
              <w:lang w:val="en-GB"/>
            </w:rPr>
            <w:t>,</w:t>
          </w:r>
          <w:r w:rsidR="00171EB9" w:rsidRPr="000D4A19">
            <w:rPr>
              <w:rFonts w:cstheme="minorHAnsi"/>
              <w:sz w:val="24"/>
              <w:szCs w:val="24"/>
              <w:lang w:val="en-GB"/>
            </w:rPr>
            <w:t xml:space="preserve"> together with a brochure </w:t>
          </w:r>
          <w:r w:rsidR="00CC6EA9" w:rsidRPr="000D4A19">
            <w:rPr>
              <w:rFonts w:cstheme="minorHAnsi"/>
              <w:sz w:val="24"/>
              <w:szCs w:val="24"/>
              <w:lang w:val="en-GB"/>
            </w:rPr>
            <w:t>containing</w:t>
          </w:r>
          <w:r w:rsidR="00171EB9" w:rsidRPr="000D4A19">
            <w:rPr>
              <w:rFonts w:cstheme="minorHAnsi"/>
              <w:sz w:val="24"/>
              <w:szCs w:val="24"/>
              <w:lang w:val="en-GB"/>
            </w:rPr>
            <w:t xml:space="preserve"> further information on the obligations </w:t>
          </w:r>
          <w:r w:rsidR="000D0F71" w:rsidRPr="000D4A19">
            <w:rPr>
              <w:rFonts w:cstheme="minorHAnsi"/>
              <w:sz w:val="24"/>
              <w:szCs w:val="24"/>
              <w:lang w:val="en-GB"/>
            </w:rPr>
            <w:t xml:space="preserve">of members of the government </w:t>
          </w:r>
          <w:r w:rsidR="00171EB9" w:rsidRPr="000D4A19">
            <w:rPr>
              <w:rFonts w:cstheme="minorHAnsi"/>
              <w:sz w:val="24"/>
              <w:szCs w:val="24"/>
              <w:lang w:val="en-GB"/>
            </w:rPr>
            <w:t xml:space="preserve">under the LCI. In addition, the government has been invited twice by the Commission to have a roundtable organised on issues related to the </w:t>
          </w:r>
          <w:r w:rsidR="00220C82" w:rsidRPr="000D4A19">
            <w:rPr>
              <w:rFonts w:cstheme="minorHAnsi"/>
              <w:sz w:val="24"/>
              <w:szCs w:val="24"/>
              <w:lang w:val="en-GB"/>
            </w:rPr>
            <w:t>LCI but</w:t>
          </w:r>
          <w:r w:rsidR="00171EB9" w:rsidRPr="000D4A19">
            <w:rPr>
              <w:rFonts w:cstheme="minorHAnsi"/>
              <w:sz w:val="24"/>
              <w:szCs w:val="24"/>
              <w:lang w:val="en-GB"/>
            </w:rPr>
            <w:t xml:space="preserve"> has so far not responded to this invitation.</w:t>
          </w:r>
          <w:r w:rsidR="004108C1" w:rsidRPr="000D4A19">
            <w:rPr>
              <w:rFonts w:cstheme="minorHAnsi"/>
              <w:sz w:val="24"/>
              <w:szCs w:val="24"/>
              <w:lang w:val="en-GB"/>
            </w:rPr>
            <w:t xml:space="preserve"> </w:t>
          </w:r>
          <w:r w:rsidR="004C06D5" w:rsidRPr="000D4A19">
            <w:rPr>
              <w:rFonts w:cstheme="minorHAnsi"/>
              <w:sz w:val="24"/>
              <w:szCs w:val="24"/>
              <w:lang w:val="en-GB"/>
            </w:rPr>
            <w:t xml:space="preserve">The GET takes the view that more </w:t>
          </w:r>
          <w:r w:rsidR="004108C1" w:rsidRPr="000D4A19">
            <w:rPr>
              <w:rFonts w:cstheme="minorHAnsi"/>
              <w:sz w:val="24"/>
              <w:szCs w:val="24"/>
              <w:lang w:val="en-GB"/>
            </w:rPr>
            <w:t xml:space="preserve">can </w:t>
          </w:r>
          <w:r w:rsidR="004C06D5" w:rsidRPr="000D4A19">
            <w:rPr>
              <w:rFonts w:cstheme="minorHAnsi"/>
              <w:sz w:val="24"/>
              <w:szCs w:val="24"/>
              <w:lang w:val="en-GB"/>
            </w:rPr>
            <w:t>be done to</w:t>
          </w:r>
          <w:r w:rsidR="004108C1" w:rsidRPr="000D4A19">
            <w:rPr>
              <w:rFonts w:cstheme="minorHAnsi"/>
              <w:sz w:val="24"/>
              <w:szCs w:val="24"/>
              <w:lang w:val="en-GB"/>
            </w:rPr>
            <w:t xml:space="preserve"> pro-actively</w:t>
          </w:r>
          <w:r w:rsidR="004C06D5" w:rsidRPr="000D4A19">
            <w:rPr>
              <w:rFonts w:cstheme="minorHAnsi"/>
              <w:sz w:val="24"/>
              <w:szCs w:val="24"/>
              <w:lang w:val="en-GB"/>
            </w:rPr>
            <w:t xml:space="preserve"> familiarise PTEFs with the standards on integrity. As a minimum</w:t>
          </w:r>
          <w:r w:rsidR="00CC6EA9" w:rsidRPr="000D4A19">
            <w:rPr>
              <w:rFonts w:cstheme="minorHAnsi"/>
              <w:sz w:val="24"/>
              <w:szCs w:val="24"/>
              <w:lang w:val="en-GB"/>
            </w:rPr>
            <w:t>,</w:t>
          </w:r>
          <w:r w:rsidR="004C06D5" w:rsidRPr="000D4A19">
            <w:rPr>
              <w:rFonts w:cstheme="minorHAnsi"/>
              <w:sz w:val="24"/>
              <w:szCs w:val="24"/>
              <w:lang w:val="en-GB"/>
            </w:rPr>
            <w:t xml:space="preserve"> PTEFs should be properly briefed upon taking up their functions about the integrity standards applying to them (and the conduct expected of them in terms of conflicts of interest, </w:t>
          </w:r>
          <w:r w:rsidR="00BF182A">
            <w:rPr>
              <w:rFonts w:cstheme="minorHAnsi"/>
              <w:sz w:val="24"/>
              <w:szCs w:val="24"/>
              <w:lang w:val="en-GB"/>
            </w:rPr>
            <w:t>financial</w:t>
          </w:r>
          <w:r w:rsidR="004C06D5" w:rsidRPr="000D4A19">
            <w:rPr>
              <w:rFonts w:cstheme="minorHAnsi"/>
              <w:sz w:val="24"/>
              <w:szCs w:val="24"/>
              <w:lang w:val="en-GB"/>
            </w:rPr>
            <w:t xml:space="preserve"> declarations, contacts with third parties, gifts etc.)</w:t>
          </w:r>
          <w:r w:rsidR="00BE34DF" w:rsidRPr="000D4A19">
            <w:rPr>
              <w:rFonts w:cstheme="minorHAnsi"/>
              <w:sz w:val="24"/>
              <w:szCs w:val="24"/>
              <w:lang w:val="en-GB"/>
            </w:rPr>
            <w:t xml:space="preserve"> and their role when it comes to ensuring integrity within their own ministries</w:t>
          </w:r>
          <w:r w:rsidR="004C06D5" w:rsidRPr="000D4A19">
            <w:rPr>
              <w:rFonts w:cstheme="minorHAnsi"/>
              <w:sz w:val="24"/>
              <w:szCs w:val="24"/>
              <w:lang w:val="en-GB"/>
            </w:rPr>
            <w:t>. This would be facilitated by the adoption of a code of conduct for PTEFs, as recommended earlier in the report</w:t>
          </w:r>
          <w:r w:rsidR="00CC6EA9" w:rsidRPr="000D4A19">
            <w:rPr>
              <w:rFonts w:cstheme="minorHAnsi"/>
              <w:sz w:val="24"/>
              <w:szCs w:val="24"/>
              <w:lang w:val="en-GB"/>
            </w:rPr>
            <w:t>.</w:t>
          </w:r>
          <w:r w:rsidR="00D26AAF" w:rsidRPr="000D4A19">
            <w:rPr>
              <w:rFonts w:cstheme="minorHAnsi"/>
              <w:sz w:val="24"/>
              <w:szCs w:val="24"/>
              <w:lang w:val="en-GB"/>
            </w:rPr>
            <w:t xml:space="preserve"> </w:t>
          </w:r>
          <w:r w:rsidR="00CC6EA9" w:rsidRPr="000D4A19">
            <w:rPr>
              <w:rFonts w:cstheme="minorHAnsi"/>
              <w:sz w:val="24"/>
              <w:szCs w:val="24"/>
              <w:lang w:val="en-GB"/>
            </w:rPr>
            <w:t>However,</w:t>
          </w:r>
          <w:r w:rsidR="00C23879" w:rsidRPr="000D4A19">
            <w:rPr>
              <w:rFonts w:cstheme="minorHAnsi"/>
              <w:sz w:val="24"/>
              <w:szCs w:val="24"/>
              <w:lang w:val="en-GB"/>
            </w:rPr>
            <w:t xml:space="preserve"> </w:t>
          </w:r>
          <w:r w:rsidR="00D26AAF" w:rsidRPr="000D4A19">
            <w:rPr>
              <w:rFonts w:cstheme="minorHAnsi"/>
              <w:sz w:val="24"/>
              <w:szCs w:val="24"/>
              <w:lang w:val="en-GB"/>
            </w:rPr>
            <w:t>the content of such a co</w:t>
          </w:r>
          <w:r w:rsidR="001068AD" w:rsidRPr="000D4A19">
            <w:rPr>
              <w:rFonts w:cstheme="minorHAnsi"/>
              <w:sz w:val="24"/>
              <w:szCs w:val="24"/>
              <w:lang w:val="en-GB"/>
            </w:rPr>
            <w:t>de</w:t>
          </w:r>
          <w:r w:rsidR="00D26AAF" w:rsidRPr="000D4A19">
            <w:rPr>
              <w:rFonts w:cstheme="minorHAnsi"/>
              <w:sz w:val="24"/>
              <w:szCs w:val="24"/>
              <w:lang w:val="en-GB"/>
            </w:rPr>
            <w:t xml:space="preserve"> would remain words on paper if not adequately communicated and </w:t>
          </w:r>
          <w:r w:rsidR="00DD3BF1" w:rsidRPr="000D4A19">
            <w:rPr>
              <w:rFonts w:cstheme="minorHAnsi"/>
              <w:sz w:val="24"/>
              <w:szCs w:val="24"/>
              <w:lang w:val="en-GB"/>
            </w:rPr>
            <w:t>instilled</w:t>
          </w:r>
          <w:r w:rsidR="004C06D5" w:rsidRPr="000D4A19">
            <w:rPr>
              <w:rFonts w:cstheme="minorHAnsi"/>
              <w:sz w:val="24"/>
              <w:szCs w:val="24"/>
              <w:lang w:val="en-GB"/>
            </w:rPr>
            <w:t>.</w:t>
          </w:r>
          <w:r w:rsidR="00BE34DF" w:rsidRPr="000D4A19">
            <w:rPr>
              <w:rFonts w:cstheme="minorHAnsi"/>
              <w:sz w:val="24"/>
              <w:szCs w:val="24"/>
              <w:lang w:val="en-GB"/>
            </w:rPr>
            <w:t xml:space="preserve"> </w:t>
          </w:r>
        </w:p>
        <w:p w14:paraId="2A738224" w14:textId="77777777" w:rsidR="00BE34DF" w:rsidRPr="000D4A19" w:rsidRDefault="00BE34DF" w:rsidP="00BE34DF">
          <w:pPr>
            <w:tabs>
              <w:tab w:val="left" w:pos="709"/>
              <w:tab w:val="num" w:pos="8222"/>
            </w:tabs>
            <w:spacing w:after="0" w:line="240" w:lineRule="auto"/>
            <w:jc w:val="both"/>
            <w:rPr>
              <w:rFonts w:cstheme="minorHAnsi"/>
              <w:sz w:val="24"/>
              <w:szCs w:val="24"/>
              <w:lang w:val="en-GB"/>
            </w:rPr>
          </w:pPr>
        </w:p>
        <w:p w14:paraId="604EA69A" w14:textId="2A9E615D" w:rsidR="00BE34DF" w:rsidRPr="002B24B1" w:rsidRDefault="004C06D5" w:rsidP="00BE34DF">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In addition, </w:t>
          </w:r>
          <w:r w:rsidR="001B3CFF" w:rsidRPr="000D4A19">
            <w:rPr>
              <w:rFonts w:cstheme="minorHAnsi"/>
              <w:sz w:val="24"/>
              <w:szCs w:val="24"/>
              <w:lang w:val="en-GB"/>
            </w:rPr>
            <w:t xml:space="preserve">GRECO </w:t>
          </w:r>
          <w:r w:rsidR="00324517" w:rsidRPr="000D4A19">
            <w:rPr>
              <w:rFonts w:cstheme="minorHAnsi"/>
              <w:sz w:val="24"/>
              <w:szCs w:val="24"/>
              <w:lang w:val="en-GB"/>
            </w:rPr>
            <w:t xml:space="preserve">already </w:t>
          </w:r>
          <w:r w:rsidR="001B3CFF" w:rsidRPr="000D4A19">
            <w:rPr>
              <w:rFonts w:cstheme="minorHAnsi"/>
              <w:sz w:val="24"/>
              <w:szCs w:val="24"/>
              <w:lang w:val="en-GB"/>
            </w:rPr>
            <w:t>noted in</w:t>
          </w:r>
          <w:r w:rsidR="00324517" w:rsidRPr="000D4A19">
            <w:rPr>
              <w:rFonts w:cstheme="minorHAnsi"/>
              <w:sz w:val="24"/>
              <w:szCs w:val="24"/>
              <w:lang w:val="en-GB"/>
            </w:rPr>
            <w:t xml:space="preserve"> its</w:t>
          </w:r>
          <w:r w:rsidR="001B3CFF" w:rsidRPr="000D4A19">
            <w:rPr>
              <w:rFonts w:cstheme="minorHAnsi"/>
              <w:sz w:val="24"/>
              <w:szCs w:val="24"/>
              <w:lang w:val="en-GB"/>
            </w:rPr>
            <w:t xml:space="preserve"> </w:t>
          </w:r>
          <w:r w:rsidR="001B3CFF" w:rsidRPr="000D4A19">
            <w:rPr>
              <w:sz w:val="24"/>
              <w:szCs w:val="24"/>
              <w:lang w:val="en-GB"/>
            </w:rPr>
            <w:t>Fourth Round</w:t>
          </w:r>
          <w:r w:rsidR="00324517" w:rsidRPr="000D4A19">
            <w:rPr>
              <w:sz w:val="24"/>
              <w:szCs w:val="24"/>
              <w:lang w:val="en-GB"/>
            </w:rPr>
            <w:t xml:space="preserve"> Evaluation</w:t>
          </w:r>
          <w:r w:rsidR="001B3CFF" w:rsidRPr="000D4A19">
            <w:rPr>
              <w:sz w:val="24"/>
              <w:szCs w:val="24"/>
              <w:lang w:val="en-GB"/>
            </w:rPr>
            <w:t xml:space="preserve"> Report</w:t>
          </w:r>
          <w:r w:rsidR="00DD3BF1" w:rsidRPr="000D4A19">
            <w:rPr>
              <w:rFonts w:cstheme="minorHAnsi"/>
              <w:sz w:val="24"/>
              <w:szCs w:val="24"/>
              <w:lang w:val="en-GB"/>
            </w:rPr>
            <w:t xml:space="preserve"> in respect of Croatia</w:t>
          </w:r>
          <w:r w:rsidR="001B3CFF" w:rsidRPr="000D4A19">
            <w:rPr>
              <w:rFonts w:cstheme="minorHAnsi"/>
              <w:sz w:val="24"/>
              <w:szCs w:val="24"/>
              <w:lang w:val="en-GB"/>
            </w:rPr>
            <w:t xml:space="preserve"> </w:t>
          </w:r>
          <w:r w:rsidR="00324517" w:rsidRPr="000D4A19">
            <w:rPr>
              <w:rFonts w:cstheme="minorHAnsi"/>
              <w:sz w:val="24"/>
              <w:szCs w:val="24"/>
              <w:lang w:val="en-GB"/>
            </w:rPr>
            <w:t>(paragraph 73) in respect of MPs</w:t>
          </w:r>
          <w:r w:rsidR="00CF1245" w:rsidRPr="000D4A19">
            <w:rPr>
              <w:rFonts w:cstheme="minorHAnsi"/>
              <w:sz w:val="24"/>
              <w:szCs w:val="24"/>
              <w:lang w:val="en-GB"/>
            </w:rPr>
            <w:t>, as well as judges and prosecutors,</w:t>
          </w:r>
          <w:r w:rsidR="00324517" w:rsidRPr="000D4A19">
            <w:rPr>
              <w:rFonts w:cstheme="minorHAnsi"/>
              <w:sz w:val="24"/>
              <w:szCs w:val="24"/>
              <w:lang w:val="en-GB"/>
            </w:rPr>
            <w:t xml:space="preserve"> that the provision of dedicated counselling (including of a confidential nature) could further assist in preventing conflicts of interest and addressing integrity dilemmas.</w:t>
          </w:r>
          <w:r w:rsidR="00DD3BF1" w:rsidRPr="000D4A19">
            <w:rPr>
              <w:rStyle w:val="Referencafusnote"/>
              <w:rFonts w:cstheme="minorHAnsi"/>
              <w:sz w:val="24"/>
              <w:szCs w:val="24"/>
              <w:lang w:val="en-GB"/>
            </w:rPr>
            <w:footnoteReference w:id="31"/>
          </w:r>
          <w:r w:rsidR="00324517" w:rsidRPr="000D4A19">
            <w:rPr>
              <w:rFonts w:cstheme="minorHAnsi"/>
              <w:sz w:val="24"/>
              <w:szCs w:val="24"/>
              <w:lang w:val="en-GB"/>
            </w:rPr>
            <w:t xml:space="preserve"> The same can be said for PTEFs. </w:t>
          </w:r>
          <w:r w:rsidR="00D26AAF" w:rsidRPr="000D4A19">
            <w:rPr>
              <w:rFonts w:cstheme="minorHAnsi"/>
              <w:sz w:val="24"/>
              <w:szCs w:val="24"/>
              <w:lang w:val="en-GB"/>
            </w:rPr>
            <w:t>While already now PTEF</w:t>
          </w:r>
          <w:r w:rsidR="009553AB" w:rsidRPr="000D4A19">
            <w:rPr>
              <w:rFonts w:cstheme="minorHAnsi"/>
              <w:sz w:val="24"/>
              <w:szCs w:val="24"/>
              <w:lang w:val="en-GB"/>
            </w:rPr>
            <w:t xml:space="preserve"> </w:t>
          </w:r>
          <w:r w:rsidR="00D26AAF" w:rsidRPr="000D4A19">
            <w:rPr>
              <w:rFonts w:cstheme="minorHAnsi"/>
              <w:sz w:val="24"/>
              <w:szCs w:val="24"/>
              <w:lang w:val="en-GB"/>
            </w:rPr>
            <w:t xml:space="preserve">could informally contact someone in their ministry for advice, </w:t>
          </w:r>
          <w:r w:rsidR="009553AB" w:rsidRPr="000D4A19">
            <w:rPr>
              <w:rFonts w:cstheme="minorHAnsi"/>
              <w:sz w:val="24"/>
              <w:szCs w:val="24"/>
              <w:lang w:val="en-GB"/>
            </w:rPr>
            <w:t xml:space="preserve">this </w:t>
          </w:r>
          <w:r w:rsidR="00D26AAF" w:rsidRPr="000D4A19">
            <w:rPr>
              <w:rFonts w:cstheme="minorHAnsi"/>
              <w:sz w:val="24"/>
              <w:szCs w:val="24"/>
              <w:lang w:val="en-GB"/>
            </w:rPr>
            <w:t xml:space="preserve">may not </w:t>
          </w:r>
          <w:r w:rsidR="009553AB" w:rsidRPr="000D4A19">
            <w:rPr>
              <w:rFonts w:cstheme="minorHAnsi"/>
              <w:sz w:val="24"/>
              <w:szCs w:val="24"/>
              <w:lang w:val="en-GB"/>
            </w:rPr>
            <w:t xml:space="preserve">always </w:t>
          </w:r>
          <w:r w:rsidR="00D26AAF" w:rsidRPr="000D4A19">
            <w:rPr>
              <w:rFonts w:cstheme="minorHAnsi"/>
              <w:sz w:val="24"/>
              <w:szCs w:val="24"/>
              <w:lang w:val="en-GB"/>
            </w:rPr>
            <w:t>suit certain more sensitive situations, which require that confidentiality be imbedded in a counselling procedure</w:t>
          </w:r>
          <w:r w:rsidR="00BE34DF" w:rsidRPr="000D4A19">
            <w:rPr>
              <w:rFonts w:cstheme="minorHAnsi"/>
              <w:sz w:val="24"/>
              <w:szCs w:val="24"/>
              <w:lang w:val="en-GB"/>
            </w:rPr>
            <w:t xml:space="preserve">, and may lead to dissonant practices. In addition, </w:t>
          </w:r>
          <w:r w:rsidR="00951A34" w:rsidRPr="000D4A19">
            <w:rPr>
              <w:rFonts w:cstheme="minorHAnsi"/>
              <w:sz w:val="24"/>
              <w:szCs w:val="24"/>
              <w:lang w:val="en-GB"/>
            </w:rPr>
            <w:t xml:space="preserve">the </w:t>
          </w:r>
          <w:r w:rsidR="00D26AAF" w:rsidRPr="000D4A19">
            <w:rPr>
              <w:rFonts w:cstheme="minorHAnsi"/>
              <w:sz w:val="24"/>
              <w:szCs w:val="24"/>
              <w:lang w:val="en-GB"/>
            </w:rPr>
            <w:t xml:space="preserve">Commission for the </w:t>
          </w:r>
          <w:r w:rsidR="00F85342" w:rsidRPr="000D4A19">
            <w:rPr>
              <w:rFonts w:cstheme="minorHAnsi"/>
              <w:sz w:val="24"/>
              <w:szCs w:val="24"/>
              <w:lang w:val="en-GB"/>
            </w:rPr>
            <w:t>Prevention</w:t>
          </w:r>
          <w:r w:rsidR="00DB6E64" w:rsidRPr="000D4A19">
            <w:rPr>
              <w:rFonts w:cstheme="minorHAnsi"/>
              <w:sz w:val="24"/>
              <w:szCs w:val="24"/>
              <w:lang w:val="en-GB"/>
            </w:rPr>
            <w:t xml:space="preserve"> </w:t>
          </w:r>
          <w:r w:rsidR="00D26AAF" w:rsidRPr="000D4A19">
            <w:rPr>
              <w:rFonts w:cstheme="minorHAnsi"/>
              <w:sz w:val="24"/>
              <w:szCs w:val="24"/>
              <w:lang w:val="en-GB"/>
            </w:rPr>
            <w:t>of Conflicts of Interest</w:t>
          </w:r>
          <w:r w:rsidR="00951A34" w:rsidRPr="000D4A19">
            <w:rPr>
              <w:rFonts w:cstheme="minorHAnsi"/>
              <w:sz w:val="24"/>
              <w:szCs w:val="24"/>
              <w:lang w:val="en-GB"/>
            </w:rPr>
            <w:t xml:space="preserve"> c</w:t>
          </w:r>
          <w:r w:rsidR="004108C1" w:rsidRPr="000D4A19">
            <w:rPr>
              <w:rFonts w:cstheme="minorHAnsi"/>
              <w:sz w:val="24"/>
              <w:szCs w:val="24"/>
              <w:lang w:val="en-GB"/>
            </w:rPr>
            <w:t>an</w:t>
          </w:r>
          <w:r w:rsidR="00951A34" w:rsidRPr="000D4A19">
            <w:rPr>
              <w:rFonts w:cstheme="minorHAnsi"/>
              <w:sz w:val="24"/>
              <w:szCs w:val="24"/>
              <w:lang w:val="en-GB"/>
            </w:rPr>
            <w:t xml:space="preserve"> be asked</w:t>
          </w:r>
          <w:r w:rsidR="004108C1" w:rsidRPr="000D4A19">
            <w:rPr>
              <w:rFonts w:cstheme="minorHAnsi"/>
              <w:sz w:val="24"/>
              <w:szCs w:val="24"/>
              <w:lang w:val="en-GB"/>
            </w:rPr>
            <w:t xml:space="preserve"> (and is being asked by certain PTEFs)</w:t>
          </w:r>
          <w:r w:rsidR="00951A34" w:rsidRPr="000D4A19">
            <w:rPr>
              <w:rFonts w:cstheme="minorHAnsi"/>
              <w:sz w:val="24"/>
              <w:szCs w:val="24"/>
              <w:lang w:val="en-GB"/>
            </w:rPr>
            <w:t xml:space="preserve"> to provide an opinion </w:t>
          </w:r>
          <w:r w:rsidR="004108C1" w:rsidRPr="000D4A19">
            <w:rPr>
              <w:rFonts w:cstheme="minorHAnsi"/>
              <w:sz w:val="24"/>
              <w:szCs w:val="24"/>
              <w:lang w:val="en-GB"/>
            </w:rPr>
            <w:t>when officials are in doubt how to proceed (</w:t>
          </w:r>
          <w:r w:rsidR="004108C1" w:rsidRPr="000D4A19">
            <w:rPr>
              <w:rFonts w:cstheme="minorHAnsi"/>
              <w:i/>
              <w:sz w:val="24"/>
              <w:szCs w:val="24"/>
              <w:lang w:val="en-GB"/>
            </w:rPr>
            <w:t xml:space="preserve">inter alia </w:t>
          </w:r>
          <w:r w:rsidR="004108C1" w:rsidRPr="000D4A19">
            <w:rPr>
              <w:rFonts w:cstheme="minorHAnsi"/>
              <w:sz w:val="24"/>
              <w:szCs w:val="24"/>
              <w:lang w:val="en-GB"/>
            </w:rPr>
            <w:t>as to whether their “conduct complies with the principles of public office”, pursuant to Article 6 of the Law on the Prevention of Conflicts of Interest)</w:t>
          </w:r>
          <w:r w:rsidR="00951A34" w:rsidRPr="000D4A19">
            <w:rPr>
              <w:rFonts w:cstheme="minorHAnsi"/>
              <w:sz w:val="24"/>
              <w:szCs w:val="24"/>
              <w:lang w:val="en-GB"/>
            </w:rPr>
            <w:t>.</w:t>
          </w:r>
          <w:r w:rsidR="004108C1" w:rsidRPr="000D4A19">
            <w:rPr>
              <w:rStyle w:val="Referencafusnote"/>
              <w:rFonts w:cstheme="minorHAnsi"/>
              <w:sz w:val="24"/>
              <w:szCs w:val="24"/>
              <w:lang w:val="en-GB"/>
            </w:rPr>
            <w:footnoteReference w:id="32"/>
          </w:r>
          <w:r w:rsidR="00951A34" w:rsidRPr="000D4A19">
            <w:rPr>
              <w:rFonts w:cstheme="minorHAnsi"/>
              <w:sz w:val="24"/>
              <w:szCs w:val="24"/>
              <w:lang w:val="en-GB"/>
            </w:rPr>
            <w:t xml:space="preserve"> However, the need for confidential advice may pertain to another integrity issue than a conflict of interests and may </w:t>
          </w:r>
          <w:r w:rsidR="00BE34DF" w:rsidRPr="000D4A19">
            <w:rPr>
              <w:rFonts w:cstheme="minorHAnsi"/>
              <w:sz w:val="24"/>
              <w:szCs w:val="24"/>
              <w:lang w:val="en-GB"/>
            </w:rPr>
            <w:t xml:space="preserve">additionally </w:t>
          </w:r>
          <w:r w:rsidR="00951A34" w:rsidRPr="000D4A19">
            <w:rPr>
              <w:rFonts w:cstheme="minorHAnsi"/>
              <w:sz w:val="24"/>
              <w:szCs w:val="24"/>
              <w:lang w:val="en-GB"/>
            </w:rPr>
            <w:t>place the Commission in a difficult position</w:t>
          </w:r>
          <w:r w:rsidR="00F25C7A" w:rsidRPr="000D4A19">
            <w:rPr>
              <w:rFonts w:cstheme="minorHAnsi"/>
              <w:sz w:val="24"/>
              <w:szCs w:val="24"/>
              <w:lang w:val="en-GB"/>
            </w:rPr>
            <w:t>,</w:t>
          </w:r>
          <w:r w:rsidR="00951A34" w:rsidRPr="000D4A19">
            <w:rPr>
              <w:rFonts w:cstheme="minorHAnsi"/>
              <w:sz w:val="24"/>
              <w:szCs w:val="24"/>
              <w:lang w:val="en-GB"/>
            </w:rPr>
            <w:t xml:space="preserve"> in</w:t>
          </w:r>
          <w:r w:rsidR="00DB6E64" w:rsidRPr="000D4A19">
            <w:rPr>
              <w:rFonts w:cstheme="minorHAnsi"/>
              <w:sz w:val="24"/>
              <w:szCs w:val="24"/>
              <w:lang w:val="en-GB"/>
            </w:rPr>
            <w:t xml:space="preserve"> that it could concern a matter normally requiring its </w:t>
          </w:r>
          <w:r w:rsidR="00951A34" w:rsidRPr="000D4A19">
            <w:rPr>
              <w:rFonts w:cstheme="minorHAnsi"/>
              <w:sz w:val="24"/>
              <w:szCs w:val="24"/>
              <w:lang w:val="en-GB"/>
            </w:rPr>
            <w:t xml:space="preserve">intervention as an enforcement body. </w:t>
          </w:r>
          <w:r w:rsidR="00BE34DF" w:rsidRPr="000D4A19">
            <w:rPr>
              <w:rFonts w:cstheme="minorHAnsi"/>
              <w:sz w:val="24"/>
              <w:szCs w:val="24"/>
              <w:lang w:val="en-GB"/>
            </w:rPr>
            <w:t xml:space="preserve">The GET would thus find it useful to designate someone at governmental level, as appropriate, as a confidential counsellor on integrity </w:t>
          </w:r>
          <w:r w:rsidR="00BE34DF" w:rsidRPr="002B24B1">
            <w:rPr>
              <w:rFonts w:cstheme="minorHAnsi"/>
              <w:sz w:val="24"/>
              <w:szCs w:val="24"/>
              <w:lang w:val="en-GB"/>
            </w:rPr>
            <w:t xml:space="preserve">issues for the PM, ministers, state secretaries and assistant ministers. </w:t>
          </w:r>
          <w:r w:rsidR="00951A34" w:rsidRPr="002B24B1">
            <w:rPr>
              <w:rFonts w:cstheme="minorHAnsi"/>
              <w:sz w:val="24"/>
              <w:szCs w:val="24"/>
              <w:lang w:val="en-GB"/>
            </w:rPr>
            <w:t xml:space="preserve">In view of the above, </w:t>
          </w:r>
          <w:r w:rsidR="00951A34" w:rsidRPr="002B24B1">
            <w:rPr>
              <w:rFonts w:cstheme="minorHAnsi"/>
              <w:b/>
              <w:sz w:val="24"/>
              <w:szCs w:val="24"/>
              <w:lang w:val="en-GB"/>
            </w:rPr>
            <w:t xml:space="preserve">GRECO recommends </w:t>
          </w:r>
          <w:bookmarkStart w:id="45" w:name="_Hlk26535637"/>
          <w:bookmarkStart w:id="46" w:name="_Hlk22745457"/>
          <w:r w:rsidR="00951A34" w:rsidRPr="002B24B1">
            <w:rPr>
              <w:rFonts w:cstheme="minorHAnsi"/>
              <w:b/>
              <w:sz w:val="24"/>
              <w:szCs w:val="24"/>
              <w:lang w:val="en-GB"/>
            </w:rPr>
            <w:t xml:space="preserve">that (i) </w:t>
          </w:r>
          <w:r w:rsidR="00BE34DF" w:rsidRPr="002B24B1">
            <w:rPr>
              <w:rFonts w:cstheme="minorHAnsi"/>
              <w:b/>
              <w:sz w:val="24"/>
              <w:szCs w:val="24"/>
              <w:lang w:val="en-GB"/>
            </w:rPr>
            <w:t xml:space="preserve">systemic briefings on integrity issues be imparted to </w:t>
          </w:r>
          <w:r w:rsidR="008C72EE" w:rsidRPr="002B24B1">
            <w:rPr>
              <w:rFonts w:cstheme="minorHAnsi"/>
              <w:b/>
              <w:sz w:val="24"/>
              <w:szCs w:val="24"/>
              <w:lang w:val="en-GB"/>
            </w:rPr>
            <w:t xml:space="preserve">persons with top executive functions </w:t>
          </w:r>
          <w:r w:rsidR="00BE34DF" w:rsidRPr="002B24B1">
            <w:rPr>
              <w:rFonts w:cstheme="minorHAnsi"/>
              <w:b/>
              <w:sz w:val="24"/>
              <w:szCs w:val="24"/>
              <w:lang w:val="en-GB"/>
            </w:rPr>
            <w:t>upon taking up their positions and at certain intervals thereafter and ii) confidential counselling on integrity issues be established for them</w:t>
          </w:r>
          <w:bookmarkEnd w:id="45"/>
          <w:r w:rsidR="00BE34DF" w:rsidRPr="002B24B1">
            <w:rPr>
              <w:rFonts w:cstheme="minorHAnsi"/>
              <w:sz w:val="24"/>
              <w:szCs w:val="24"/>
              <w:lang w:val="en-GB"/>
            </w:rPr>
            <w:t>.</w:t>
          </w:r>
          <w:bookmarkEnd w:id="46"/>
          <w:r w:rsidR="00BE34DF" w:rsidRPr="002B24B1">
            <w:rPr>
              <w:rFonts w:cstheme="minorHAnsi"/>
              <w:sz w:val="24"/>
              <w:szCs w:val="24"/>
              <w:lang w:val="en-GB"/>
            </w:rPr>
            <w:t xml:space="preserve"> The establishment of a mechanism for confidential counselling should be closely coordinated with the Commission for the </w:t>
          </w:r>
          <w:r w:rsidR="00F85342" w:rsidRPr="002B24B1">
            <w:rPr>
              <w:rFonts w:cstheme="minorHAnsi"/>
              <w:sz w:val="24"/>
              <w:szCs w:val="24"/>
              <w:lang w:val="en-GB"/>
            </w:rPr>
            <w:t>Prevention</w:t>
          </w:r>
          <w:r w:rsidR="005E63F9" w:rsidRPr="002B24B1">
            <w:rPr>
              <w:rFonts w:cstheme="minorHAnsi"/>
              <w:sz w:val="24"/>
              <w:szCs w:val="24"/>
              <w:lang w:val="en-GB"/>
            </w:rPr>
            <w:t xml:space="preserve"> </w:t>
          </w:r>
          <w:r w:rsidR="00BE34DF" w:rsidRPr="002B24B1">
            <w:rPr>
              <w:rFonts w:cstheme="minorHAnsi"/>
              <w:sz w:val="24"/>
              <w:szCs w:val="24"/>
              <w:lang w:val="en-GB"/>
            </w:rPr>
            <w:t xml:space="preserve">of Conflicts of Interest. </w:t>
          </w:r>
        </w:p>
        <w:p w14:paraId="3A1A7019" w14:textId="1182C1BA" w:rsidR="00D26AAF" w:rsidRPr="000D4A19" w:rsidRDefault="00D26AAF" w:rsidP="00BE34DF">
          <w:pPr>
            <w:tabs>
              <w:tab w:val="left" w:pos="709"/>
              <w:tab w:val="num" w:pos="8222"/>
            </w:tabs>
            <w:spacing w:after="0" w:line="240" w:lineRule="auto"/>
            <w:jc w:val="both"/>
            <w:rPr>
              <w:rFonts w:cstheme="minorHAnsi"/>
              <w:sz w:val="24"/>
              <w:szCs w:val="24"/>
              <w:lang w:val="en-GB"/>
            </w:rPr>
          </w:pPr>
        </w:p>
        <w:p w14:paraId="52290D32" w14:textId="77777777" w:rsidR="009919AC" w:rsidRPr="000D4A19" w:rsidRDefault="009919AC" w:rsidP="004B7CAB">
          <w:pPr>
            <w:pStyle w:val="Naslov2"/>
            <w:keepNext w:val="0"/>
            <w:keepLines w:val="0"/>
            <w:tabs>
              <w:tab w:val="left" w:pos="709"/>
            </w:tabs>
            <w:spacing w:before="0" w:line="240" w:lineRule="auto"/>
            <w:jc w:val="both"/>
            <w:rPr>
              <w:rFonts w:asciiTheme="minorHAnsi" w:hAnsiTheme="minorHAnsi"/>
              <w:color w:val="auto"/>
              <w:sz w:val="24"/>
              <w:szCs w:val="24"/>
              <w:u w:val="single"/>
              <w:lang w:val="en-GB"/>
            </w:rPr>
          </w:pPr>
          <w:bookmarkStart w:id="47" w:name="_Toc4762854"/>
          <w:bookmarkStart w:id="48" w:name="_Toc25229297"/>
          <w:r w:rsidRPr="000D4A19">
            <w:rPr>
              <w:rFonts w:asciiTheme="minorHAnsi" w:hAnsiTheme="minorHAnsi"/>
              <w:color w:val="auto"/>
              <w:sz w:val="24"/>
              <w:szCs w:val="24"/>
              <w:u w:val="single"/>
              <w:lang w:val="en-GB"/>
            </w:rPr>
            <w:t xml:space="preserve">Transparency </w:t>
          </w:r>
          <w:bookmarkEnd w:id="33"/>
          <w:bookmarkEnd w:id="34"/>
          <w:r w:rsidRPr="000D4A19">
            <w:rPr>
              <w:rFonts w:asciiTheme="minorHAnsi" w:hAnsiTheme="minorHAnsi"/>
              <w:color w:val="auto"/>
              <w:sz w:val="24"/>
              <w:szCs w:val="24"/>
              <w:u w:val="single"/>
              <w:lang w:val="en-GB"/>
            </w:rPr>
            <w:t>and oversight of executive activities of central government</w:t>
          </w:r>
          <w:bookmarkEnd w:id="47"/>
          <w:bookmarkEnd w:id="48"/>
        </w:p>
        <w:p w14:paraId="0BEC0F5C" w14:textId="77777777" w:rsidR="009919AC" w:rsidRPr="000D4A19" w:rsidRDefault="009919AC" w:rsidP="004B7CAB">
          <w:pPr>
            <w:tabs>
              <w:tab w:val="left" w:pos="709"/>
            </w:tabs>
            <w:spacing w:after="0" w:line="240" w:lineRule="auto"/>
            <w:jc w:val="both"/>
            <w:rPr>
              <w:rFonts w:cstheme="minorHAnsi"/>
              <w:sz w:val="24"/>
              <w:szCs w:val="24"/>
              <w:lang w:val="en-GB"/>
            </w:rPr>
          </w:pPr>
        </w:p>
        <w:p w14:paraId="7A15E7E1"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49" w:name="_Toc4762855"/>
          <w:bookmarkStart w:id="50" w:name="_Toc25229298"/>
          <w:r w:rsidRPr="000D4A19">
            <w:rPr>
              <w:rFonts w:asciiTheme="minorHAnsi" w:hAnsiTheme="minorHAnsi"/>
              <w:b w:val="0"/>
              <w:i/>
              <w:color w:val="auto"/>
              <w:sz w:val="24"/>
              <w:szCs w:val="24"/>
              <w:lang w:val="en-GB"/>
            </w:rPr>
            <w:t>Access to information</w:t>
          </w:r>
          <w:bookmarkEnd w:id="49"/>
          <w:bookmarkEnd w:id="50"/>
        </w:p>
        <w:p w14:paraId="356D8A11" w14:textId="77777777" w:rsidR="009919AC" w:rsidRPr="000D4A19" w:rsidRDefault="009919AC" w:rsidP="004B7CAB">
          <w:pPr>
            <w:spacing w:after="0" w:line="240" w:lineRule="auto"/>
            <w:jc w:val="both"/>
            <w:rPr>
              <w:rFonts w:cstheme="minorHAnsi"/>
              <w:sz w:val="24"/>
              <w:szCs w:val="24"/>
              <w:lang w:val="en-GB"/>
            </w:rPr>
          </w:pPr>
        </w:p>
        <w:p w14:paraId="4656743C" w14:textId="3B1D00B9" w:rsidR="003516A8" w:rsidRPr="000D4A19" w:rsidRDefault="009919AC" w:rsidP="00907D06">
          <w:pPr>
            <w:numPr>
              <w:ilvl w:val="0"/>
              <w:numId w:val="1"/>
            </w:numPr>
            <w:tabs>
              <w:tab w:val="left" w:pos="709"/>
              <w:tab w:val="num" w:pos="1557"/>
              <w:tab w:val="num" w:pos="8222"/>
            </w:tabs>
            <w:spacing w:after="0" w:line="240" w:lineRule="auto"/>
            <w:ind w:left="0" w:firstLine="0"/>
            <w:jc w:val="both"/>
            <w:rPr>
              <w:rFonts w:cstheme="minorHAnsi"/>
              <w:color w:val="365F91" w:themeColor="accent1" w:themeShade="BF"/>
              <w:sz w:val="24"/>
              <w:szCs w:val="24"/>
              <w:lang w:val="en-GB"/>
            </w:rPr>
          </w:pPr>
          <w:r w:rsidRPr="000D4A19">
            <w:rPr>
              <w:sz w:val="24"/>
              <w:szCs w:val="24"/>
              <w:lang w:val="en-GB"/>
            </w:rPr>
            <w:t xml:space="preserve">Access to information held by any public authority is guaranteed by the Constitution, which also provides that restrictions on this right must be proportionate to the need for such a restriction (Article 38, Constitution). This constitutional right is given shape by the </w:t>
          </w:r>
          <w:r w:rsidRPr="000D4A19">
            <w:rPr>
              <w:sz w:val="24"/>
              <w:szCs w:val="24"/>
              <w:u w:val="single"/>
              <w:lang w:val="en-GB"/>
            </w:rPr>
            <w:t>Law on the Right of Access to Information</w:t>
          </w:r>
          <w:r w:rsidRPr="000D4A19">
            <w:rPr>
              <w:sz w:val="24"/>
              <w:szCs w:val="24"/>
              <w:lang w:val="en-GB"/>
            </w:rPr>
            <w:t xml:space="preserve">, which </w:t>
          </w:r>
          <w:r w:rsidRPr="000D4A19">
            <w:rPr>
              <w:i/>
              <w:sz w:val="24"/>
              <w:szCs w:val="24"/>
              <w:lang w:val="en-GB"/>
            </w:rPr>
            <w:t xml:space="preserve">inter alia </w:t>
          </w:r>
          <w:r w:rsidRPr="000D4A19">
            <w:rPr>
              <w:sz w:val="24"/>
              <w:szCs w:val="24"/>
              <w:lang w:val="en-GB"/>
            </w:rPr>
            <w:t>provides that all information held by public authorities must be available to citizens</w:t>
          </w:r>
          <w:r w:rsidR="009C0BF0" w:rsidRPr="000D4A19">
            <w:rPr>
              <w:sz w:val="24"/>
              <w:szCs w:val="24"/>
              <w:lang w:val="en-GB"/>
            </w:rPr>
            <w:t xml:space="preserve">, requests for access to information must be fulfilled within 15 days and </w:t>
          </w:r>
          <w:r w:rsidRPr="000D4A19">
            <w:rPr>
              <w:sz w:val="24"/>
              <w:szCs w:val="24"/>
              <w:lang w:val="en-GB"/>
            </w:rPr>
            <w:t>may only be denied in certain specific cases.</w:t>
          </w:r>
          <w:r w:rsidRPr="000D4A19">
            <w:rPr>
              <w:rStyle w:val="Referencafusnote"/>
              <w:sz w:val="24"/>
              <w:szCs w:val="24"/>
              <w:lang w:val="en-GB"/>
            </w:rPr>
            <w:footnoteReference w:id="33"/>
          </w:r>
          <w:r w:rsidRPr="000D4A19">
            <w:rPr>
              <w:sz w:val="24"/>
              <w:szCs w:val="24"/>
              <w:lang w:val="en-GB"/>
            </w:rPr>
            <w:t xml:space="preserve"> </w:t>
          </w:r>
          <w:r w:rsidR="009C0BF0" w:rsidRPr="000D4A19">
            <w:rPr>
              <w:sz w:val="24"/>
              <w:szCs w:val="24"/>
              <w:lang w:val="en-GB"/>
            </w:rPr>
            <w:t>F</w:t>
          </w:r>
          <w:r w:rsidRPr="000D4A19">
            <w:rPr>
              <w:sz w:val="24"/>
              <w:szCs w:val="24"/>
              <w:lang w:val="en-GB"/>
            </w:rPr>
            <w:t>urthermore, public authorities are obliged to inform the public on the agenda of the sessions or meetings of official bodies, the times these meetings are held, the method of work of public authorities and the possibilities for direct insight in</w:t>
          </w:r>
          <w:r w:rsidR="00CC6EA9" w:rsidRPr="000D4A19">
            <w:rPr>
              <w:sz w:val="24"/>
              <w:szCs w:val="24"/>
              <w:lang w:val="en-GB"/>
            </w:rPr>
            <w:t>to</w:t>
          </w:r>
          <w:r w:rsidRPr="000D4A19">
            <w:rPr>
              <w:sz w:val="24"/>
              <w:szCs w:val="24"/>
              <w:lang w:val="en-GB"/>
            </w:rPr>
            <w:t xml:space="preserve"> their work (Article </w:t>
          </w:r>
          <w:r w:rsidR="00955822" w:rsidRPr="000D4A19">
            <w:rPr>
              <w:sz w:val="24"/>
              <w:szCs w:val="24"/>
              <w:lang w:val="en-GB"/>
            </w:rPr>
            <w:t>1</w:t>
          </w:r>
          <w:r w:rsidRPr="000D4A19">
            <w:rPr>
              <w:sz w:val="24"/>
              <w:szCs w:val="24"/>
              <w:lang w:val="en-GB"/>
            </w:rPr>
            <w:t xml:space="preserve">2, Law on the Right of Access to Information). </w:t>
          </w:r>
          <w:r w:rsidR="009C0BF0" w:rsidRPr="000D4A19">
            <w:rPr>
              <w:sz w:val="24"/>
              <w:szCs w:val="24"/>
              <w:lang w:val="en-GB"/>
            </w:rPr>
            <w:t xml:space="preserve">Croatia has been a member of the </w:t>
          </w:r>
          <w:r w:rsidR="003516A8" w:rsidRPr="000D4A19">
            <w:rPr>
              <w:sz w:val="24"/>
              <w:szCs w:val="24"/>
              <w:lang w:val="en-GB"/>
            </w:rPr>
            <w:t>Open Government Partnership since 2011</w:t>
          </w:r>
          <w:r w:rsidR="000E7AFC" w:rsidRPr="000D4A19">
            <w:rPr>
              <w:sz w:val="24"/>
              <w:szCs w:val="24"/>
              <w:lang w:val="en-GB"/>
            </w:rPr>
            <w:t>. It</w:t>
          </w:r>
          <w:r w:rsidR="00CC6EA9" w:rsidRPr="000D4A19">
            <w:rPr>
              <w:sz w:val="24"/>
              <w:szCs w:val="24"/>
              <w:lang w:val="en-GB"/>
            </w:rPr>
            <w:t>,</w:t>
          </w:r>
          <w:r w:rsidR="000E7AFC" w:rsidRPr="000D4A19">
            <w:rPr>
              <w:sz w:val="24"/>
              <w:szCs w:val="24"/>
              <w:lang w:val="en-GB"/>
            </w:rPr>
            <w:t xml:space="preserve"> however</w:t>
          </w:r>
          <w:r w:rsidR="00CC6EA9" w:rsidRPr="000D4A19">
            <w:rPr>
              <w:sz w:val="24"/>
              <w:szCs w:val="24"/>
              <w:lang w:val="en-GB"/>
            </w:rPr>
            <w:t>,</w:t>
          </w:r>
          <w:r w:rsidR="000E7AFC" w:rsidRPr="000D4A19">
            <w:rPr>
              <w:sz w:val="24"/>
              <w:szCs w:val="24"/>
              <w:lang w:val="en-GB"/>
            </w:rPr>
            <w:t xml:space="preserve"> </w:t>
          </w:r>
          <w:r w:rsidR="003516A8" w:rsidRPr="000D4A19">
            <w:rPr>
              <w:sz w:val="24"/>
              <w:szCs w:val="24"/>
              <w:lang w:val="en-GB"/>
            </w:rPr>
            <w:t>has not signed nor ratified the Council of Europe Convention on Access to Official Documents (ETS 205)</w:t>
          </w:r>
          <w:r w:rsidR="00D920EB" w:rsidRPr="000D4A19">
            <w:rPr>
              <w:sz w:val="24"/>
              <w:szCs w:val="24"/>
              <w:lang w:val="en-GB"/>
            </w:rPr>
            <w:t xml:space="preserve"> (</w:t>
          </w:r>
          <w:r w:rsidR="00997C18">
            <w:rPr>
              <w:sz w:val="24"/>
              <w:szCs w:val="24"/>
              <w:lang w:val="en-GB"/>
            </w:rPr>
            <w:t xml:space="preserve">although </w:t>
          </w:r>
          <w:r w:rsidR="00955822" w:rsidRPr="000D4A19">
            <w:rPr>
              <w:sz w:val="24"/>
              <w:szCs w:val="24"/>
              <w:lang w:val="en-GB"/>
            </w:rPr>
            <w:t>the authorities consider that the Law on the Right of Access to Information is fully in line with this Convention</w:t>
          </w:r>
          <w:r w:rsidR="00D920EB" w:rsidRPr="000D4A19">
            <w:rPr>
              <w:sz w:val="24"/>
              <w:szCs w:val="24"/>
              <w:lang w:val="en-GB"/>
            </w:rPr>
            <w:t>)</w:t>
          </w:r>
          <w:r w:rsidR="003516A8" w:rsidRPr="000D4A19">
            <w:rPr>
              <w:sz w:val="24"/>
              <w:szCs w:val="24"/>
              <w:lang w:val="en-GB"/>
            </w:rPr>
            <w:t xml:space="preserve">. The GET encourages the authorities to do so. </w:t>
          </w:r>
        </w:p>
        <w:p w14:paraId="55B8C3C7" w14:textId="0A6F821B" w:rsidR="00824151" w:rsidRPr="000D4A19" w:rsidRDefault="00824151" w:rsidP="00824151">
          <w:pPr>
            <w:tabs>
              <w:tab w:val="left" w:pos="709"/>
              <w:tab w:val="num" w:pos="8222"/>
            </w:tabs>
            <w:spacing w:after="0" w:line="240" w:lineRule="auto"/>
            <w:jc w:val="both"/>
            <w:rPr>
              <w:rFonts w:cstheme="minorHAnsi"/>
              <w:i/>
              <w:color w:val="365F91" w:themeColor="accent1" w:themeShade="BF"/>
              <w:sz w:val="20"/>
              <w:szCs w:val="20"/>
              <w:lang w:val="en-GB"/>
            </w:rPr>
          </w:pPr>
        </w:p>
        <w:p w14:paraId="2C3B91F8" w14:textId="6143E896" w:rsidR="003516A8" w:rsidRPr="000D4A19" w:rsidRDefault="009C0BF0" w:rsidP="00936B91">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The </w:t>
          </w:r>
          <w:r w:rsidR="009919AC" w:rsidRPr="000D4A19">
            <w:rPr>
              <w:rFonts w:cstheme="minorHAnsi"/>
              <w:sz w:val="24"/>
              <w:szCs w:val="24"/>
              <w:lang w:val="en-GB"/>
            </w:rPr>
            <w:t xml:space="preserve">right of access to information is monitored by an </w:t>
          </w:r>
          <w:r w:rsidR="009919AC" w:rsidRPr="000D4A19">
            <w:rPr>
              <w:rFonts w:cstheme="minorHAnsi"/>
              <w:sz w:val="24"/>
              <w:szCs w:val="24"/>
              <w:u w:val="single"/>
              <w:lang w:val="en-GB"/>
            </w:rPr>
            <w:t>Information Commissioner</w:t>
          </w:r>
          <w:r w:rsidR="003516A8" w:rsidRPr="000D4A19">
            <w:rPr>
              <w:rFonts w:cstheme="minorHAnsi"/>
              <w:sz w:val="24"/>
              <w:szCs w:val="24"/>
              <w:lang w:val="en-GB"/>
            </w:rPr>
            <w:t xml:space="preserve"> (</w:t>
          </w:r>
          <w:r w:rsidR="009919AC" w:rsidRPr="000D4A19">
            <w:rPr>
              <w:rFonts w:cstheme="minorHAnsi"/>
              <w:sz w:val="24"/>
              <w:szCs w:val="24"/>
              <w:lang w:val="en-GB"/>
            </w:rPr>
            <w:t xml:space="preserve">elected by the </w:t>
          </w:r>
          <w:r w:rsidR="00F25C7A" w:rsidRPr="000D4A19">
            <w:rPr>
              <w:rFonts w:cstheme="minorHAnsi"/>
              <w:sz w:val="24"/>
              <w:szCs w:val="24"/>
              <w:lang w:val="en-GB"/>
            </w:rPr>
            <w:t xml:space="preserve">Parliament </w:t>
          </w:r>
          <w:r w:rsidR="009919AC" w:rsidRPr="000D4A19">
            <w:rPr>
              <w:rFonts w:cstheme="minorHAnsi"/>
              <w:sz w:val="24"/>
              <w:szCs w:val="24"/>
              <w:lang w:val="en-GB"/>
            </w:rPr>
            <w:t>for a period of five years, following a public call for candidates</w:t>
          </w:r>
          <w:r w:rsidR="003516A8" w:rsidRPr="000D4A19">
            <w:rPr>
              <w:rFonts w:cstheme="minorHAnsi"/>
              <w:sz w:val="24"/>
              <w:szCs w:val="24"/>
              <w:lang w:val="en-GB"/>
            </w:rPr>
            <w:t>),</w:t>
          </w:r>
          <w:r w:rsidR="00936B91" w:rsidRPr="000D4A19">
            <w:rPr>
              <w:rFonts w:cstheme="minorHAnsi"/>
              <w:sz w:val="24"/>
              <w:szCs w:val="24"/>
              <w:lang w:val="en-GB"/>
            </w:rPr>
            <w:t xml:space="preserve"> an independent body which</w:t>
          </w:r>
          <w:r w:rsidR="003516A8" w:rsidRPr="000D4A19">
            <w:rPr>
              <w:rFonts w:cstheme="minorHAnsi"/>
              <w:sz w:val="24"/>
              <w:szCs w:val="24"/>
              <w:lang w:val="en-GB"/>
            </w:rPr>
            <w:t xml:space="preserve"> </w:t>
          </w:r>
          <w:r w:rsidR="00936B91" w:rsidRPr="000D4A19">
            <w:rPr>
              <w:rFonts w:cstheme="minorHAnsi"/>
              <w:sz w:val="24"/>
              <w:szCs w:val="24"/>
              <w:lang w:val="en-GB"/>
            </w:rPr>
            <w:t xml:space="preserve">reports to the </w:t>
          </w:r>
          <w:r w:rsidR="00F25C7A" w:rsidRPr="000D4A19">
            <w:rPr>
              <w:rFonts w:cstheme="minorHAnsi"/>
              <w:sz w:val="24"/>
              <w:szCs w:val="24"/>
              <w:lang w:val="en-GB"/>
            </w:rPr>
            <w:t xml:space="preserve">Parliament </w:t>
          </w:r>
          <w:r w:rsidR="00936B91" w:rsidRPr="000D4A19">
            <w:rPr>
              <w:rFonts w:cstheme="minorHAnsi"/>
              <w:sz w:val="24"/>
              <w:szCs w:val="24"/>
              <w:lang w:val="en-GB"/>
            </w:rPr>
            <w:t>on the implementation of the Law on the Ri</w:t>
          </w:r>
          <w:r w:rsidR="00BA57D1" w:rsidRPr="000D4A19">
            <w:rPr>
              <w:rFonts w:cstheme="minorHAnsi"/>
              <w:sz w:val="24"/>
              <w:szCs w:val="24"/>
              <w:lang w:val="en-GB"/>
            </w:rPr>
            <w:t>ght of Access to Information and</w:t>
          </w:r>
          <w:r w:rsidR="00936B91" w:rsidRPr="000D4A19">
            <w:rPr>
              <w:rFonts w:cstheme="minorHAnsi"/>
              <w:sz w:val="24"/>
              <w:szCs w:val="24"/>
              <w:lang w:val="en-GB"/>
            </w:rPr>
            <w:t xml:space="preserve"> </w:t>
          </w:r>
          <w:r w:rsidR="0055267B" w:rsidRPr="000D4A19">
            <w:rPr>
              <w:rFonts w:cstheme="minorHAnsi"/>
              <w:sz w:val="24"/>
              <w:szCs w:val="24"/>
              <w:lang w:val="en-GB"/>
            </w:rPr>
            <w:t xml:space="preserve">also </w:t>
          </w:r>
          <w:r w:rsidR="003516A8" w:rsidRPr="000D4A19">
            <w:rPr>
              <w:rFonts w:cstheme="minorHAnsi"/>
              <w:sz w:val="24"/>
              <w:szCs w:val="24"/>
              <w:lang w:val="en-GB"/>
            </w:rPr>
            <w:t xml:space="preserve">acts as a second instance </w:t>
          </w:r>
          <w:r w:rsidR="007E080D" w:rsidRPr="000D4A19">
            <w:rPr>
              <w:rFonts w:cstheme="minorHAnsi"/>
              <w:sz w:val="24"/>
              <w:szCs w:val="24"/>
              <w:lang w:val="en-GB"/>
            </w:rPr>
            <w:t xml:space="preserve">for complaints, </w:t>
          </w:r>
          <w:r w:rsidR="00936B91" w:rsidRPr="000D4A19">
            <w:rPr>
              <w:rFonts w:cstheme="minorHAnsi"/>
              <w:sz w:val="24"/>
              <w:szCs w:val="24"/>
              <w:lang w:val="en-GB"/>
            </w:rPr>
            <w:t xml:space="preserve">following appeals </w:t>
          </w:r>
          <w:r w:rsidR="007E080D" w:rsidRPr="000D4A19">
            <w:rPr>
              <w:rFonts w:cstheme="minorHAnsi"/>
              <w:sz w:val="24"/>
              <w:szCs w:val="24"/>
              <w:lang w:val="en-GB"/>
            </w:rPr>
            <w:t xml:space="preserve">to the head of </w:t>
          </w:r>
          <w:r w:rsidR="00936B91" w:rsidRPr="000D4A19">
            <w:rPr>
              <w:rFonts w:cstheme="minorHAnsi"/>
              <w:sz w:val="24"/>
              <w:szCs w:val="24"/>
              <w:lang w:val="en-GB"/>
            </w:rPr>
            <w:t xml:space="preserve">the public authority in question </w:t>
          </w:r>
          <w:r w:rsidR="00BD7A8F" w:rsidRPr="000D4A19">
            <w:rPr>
              <w:rFonts w:cstheme="minorHAnsi"/>
              <w:sz w:val="24"/>
              <w:szCs w:val="24"/>
              <w:lang w:val="en-GB"/>
            </w:rPr>
            <w:t xml:space="preserve">against a rejection </w:t>
          </w:r>
          <w:r w:rsidR="00936B91" w:rsidRPr="000D4A19">
            <w:rPr>
              <w:rFonts w:cstheme="minorHAnsi"/>
              <w:sz w:val="24"/>
              <w:szCs w:val="24"/>
              <w:lang w:val="en-GB"/>
            </w:rPr>
            <w:t xml:space="preserve">of a request for information. </w:t>
          </w:r>
          <w:r w:rsidR="007E080D" w:rsidRPr="000D4A19">
            <w:rPr>
              <w:rFonts w:cstheme="minorHAnsi"/>
              <w:sz w:val="24"/>
              <w:szCs w:val="24"/>
              <w:lang w:val="en-GB"/>
            </w:rPr>
            <w:t>The Commissioner conducts regular education programme</w:t>
          </w:r>
          <w:r w:rsidR="0055267B" w:rsidRPr="000D4A19">
            <w:rPr>
              <w:rFonts w:cstheme="minorHAnsi"/>
              <w:sz w:val="24"/>
              <w:szCs w:val="24"/>
              <w:lang w:val="en-GB"/>
            </w:rPr>
            <w:t>s</w:t>
          </w:r>
          <w:r w:rsidR="007E080D" w:rsidRPr="000D4A19">
            <w:rPr>
              <w:rFonts w:cstheme="minorHAnsi"/>
              <w:sz w:val="24"/>
              <w:szCs w:val="24"/>
              <w:lang w:val="en-GB"/>
            </w:rPr>
            <w:t xml:space="preserve"> (around 40 a year, both on-line and off-line) and promotion campaigns on access to information, and prepares publications (handbooks, guides, leaflets etc.) to promote the right of accessing information.</w:t>
          </w:r>
        </w:p>
        <w:p w14:paraId="045BA76C" w14:textId="77777777" w:rsidR="00346307" w:rsidRPr="000D4A19" w:rsidRDefault="00346307" w:rsidP="00346307">
          <w:pPr>
            <w:tabs>
              <w:tab w:val="num" w:pos="8222"/>
            </w:tabs>
            <w:spacing w:after="0" w:line="240" w:lineRule="auto"/>
            <w:jc w:val="both"/>
            <w:rPr>
              <w:rFonts w:cstheme="minorHAnsi"/>
              <w:sz w:val="24"/>
              <w:szCs w:val="24"/>
              <w:lang w:val="en-GB"/>
            </w:rPr>
          </w:pPr>
        </w:p>
        <w:p w14:paraId="01D145FD" w14:textId="7C4A81F6" w:rsidR="0024305D" w:rsidRPr="000D4A19" w:rsidRDefault="00BA57D1" w:rsidP="005B0954">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The GET found the Law on the Right of Access to Information to provide for a solid legal framework to enable citizens to obtain information</w:t>
          </w:r>
          <w:r w:rsidR="005753FE" w:rsidRPr="000D4A19">
            <w:rPr>
              <w:rFonts w:cstheme="minorHAnsi"/>
              <w:sz w:val="24"/>
              <w:szCs w:val="24"/>
              <w:lang w:val="en-GB"/>
            </w:rPr>
            <w:t>. Strong features of the Law</w:t>
          </w:r>
          <w:r w:rsidR="00780ED4" w:rsidRPr="000D4A19">
            <w:rPr>
              <w:rFonts w:cstheme="minorHAnsi"/>
              <w:sz w:val="24"/>
              <w:szCs w:val="24"/>
              <w:lang w:val="en-GB"/>
            </w:rPr>
            <w:t xml:space="preserve"> </w:t>
          </w:r>
          <w:r w:rsidR="005753FE" w:rsidRPr="000D4A19">
            <w:rPr>
              <w:rFonts w:cstheme="minorHAnsi"/>
              <w:sz w:val="24"/>
              <w:szCs w:val="24"/>
              <w:lang w:val="en-GB"/>
            </w:rPr>
            <w:t xml:space="preserve">include </w:t>
          </w:r>
          <w:r w:rsidR="00780ED4" w:rsidRPr="000D4A19">
            <w:rPr>
              <w:rFonts w:cstheme="minorHAnsi"/>
              <w:sz w:val="24"/>
              <w:szCs w:val="24"/>
              <w:lang w:val="en-GB"/>
            </w:rPr>
            <w:t>the emphasis on pro-active publication of information</w:t>
          </w:r>
          <w:r w:rsidR="008B2901" w:rsidRPr="000D4A19">
            <w:rPr>
              <w:rFonts w:cstheme="minorHAnsi"/>
              <w:sz w:val="24"/>
              <w:szCs w:val="24"/>
              <w:lang w:val="en-GB"/>
            </w:rPr>
            <w:t xml:space="preserve"> (even if the practice has not always caught up with this stated aim)</w:t>
          </w:r>
          <w:r w:rsidR="00780ED4" w:rsidRPr="000D4A19">
            <w:rPr>
              <w:rFonts w:cstheme="minorHAnsi"/>
              <w:sz w:val="24"/>
              <w:szCs w:val="24"/>
              <w:lang w:val="en-GB"/>
            </w:rPr>
            <w:t>, the appointment of information officers in public authorities</w:t>
          </w:r>
          <w:r w:rsidR="00DE4FBB" w:rsidRPr="000D4A19">
            <w:rPr>
              <w:rFonts w:cstheme="minorHAnsi"/>
              <w:sz w:val="24"/>
              <w:szCs w:val="24"/>
              <w:lang w:val="en-GB"/>
            </w:rPr>
            <w:t>, the strict deadlines to respond to information requests</w:t>
          </w:r>
          <w:r w:rsidR="00780ED4" w:rsidRPr="000D4A19">
            <w:rPr>
              <w:rFonts w:cstheme="minorHAnsi"/>
              <w:sz w:val="24"/>
              <w:szCs w:val="24"/>
              <w:lang w:val="en-GB"/>
            </w:rPr>
            <w:t xml:space="preserve"> and the proportionality and public interest test embedded in the law</w:t>
          </w:r>
          <w:r w:rsidRPr="000D4A19">
            <w:rPr>
              <w:rFonts w:cstheme="minorHAnsi"/>
              <w:sz w:val="24"/>
              <w:szCs w:val="24"/>
              <w:lang w:val="en-GB"/>
            </w:rPr>
            <w:t xml:space="preserve">. </w:t>
          </w:r>
          <w:r w:rsidR="00780ED4" w:rsidRPr="000D4A19">
            <w:rPr>
              <w:rFonts w:cstheme="minorHAnsi"/>
              <w:sz w:val="24"/>
              <w:szCs w:val="24"/>
              <w:lang w:val="en-GB"/>
            </w:rPr>
            <w:t xml:space="preserve">The GET </w:t>
          </w:r>
          <w:r w:rsidR="00E86F12">
            <w:rPr>
              <w:rFonts w:cstheme="minorHAnsi"/>
              <w:sz w:val="24"/>
              <w:szCs w:val="24"/>
              <w:lang w:val="en-GB"/>
            </w:rPr>
            <w:t>acknowledges</w:t>
          </w:r>
          <w:r w:rsidR="00DB6E64" w:rsidRPr="000D4A19">
            <w:rPr>
              <w:rFonts w:cstheme="minorHAnsi"/>
              <w:sz w:val="24"/>
              <w:szCs w:val="24"/>
              <w:lang w:val="en-GB"/>
            </w:rPr>
            <w:t xml:space="preserve"> </w:t>
          </w:r>
          <w:r w:rsidR="008336A9" w:rsidRPr="000D4A19">
            <w:rPr>
              <w:rFonts w:cstheme="minorHAnsi"/>
              <w:sz w:val="24"/>
              <w:szCs w:val="24"/>
              <w:lang w:val="en-GB"/>
            </w:rPr>
            <w:t>the</w:t>
          </w:r>
          <w:r w:rsidR="00780ED4" w:rsidRPr="000D4A19">
            <w:rPr>
              <w:rFonts w:cstheme="minorHAnsi"/>
              <w:sz w:val="24"/>
              <w:szCs w:val="24"/>
              <w:lang w:val="en-GB"/>
            </w:rPr>
            <w:t xml:space="preserve"> assessment by the Information Commissioner in its</w:t>
          </w:r>
          <w:r w:rsidR="008336A9" w:rsidRPr="000D4A19">
            <w:rPr>
              <w:rFonts w:cstheme="minorHAnsi"/>
              <w:sz w:val="24"/>
              <w:szCs w:val="24"/>
              <w:lang w:val="en-GB"/>
            </w:rPr>
            <w:t xml:space="preserve"> </w:t>
          </w:r>
          <w:r w:rsidR="00780ED4" w:rsidRPr="000D4A19">
            <w:rPr>
              <w:rFonts w:cstheme="minorHAnsi"/>
              <w:sz w:val="24"/>
              <w:szCs w:val="24"/>
              <w:lang w:val="en-GB"/>
            </w:rPr>
            <w:t xml:space="preserve">2018 </w:t>
          </w:r>
          <w:r w:rsidR="008336A9" w:rsidRPr="000D4A19">
            <w:rPr>
              <w:rFonts w:cstheme="minorHAnsi"/>
              <w:sz w:val="24"/>
              <w:szCs w:val="24"/>
              <w:lang w:val="en-GB"/>
            </w:rPr>
            <w:t xml:space="preserve">annual report </w:t>
          </w:r>
          <w:r w:rsidR="00780ED4" w:rsidRPr="000D4A19">
            <w:rPr>
              <w:rFonts w:cstheme="minorHAnsi"/>
              <w:sz w:val="24"/>
              <w:szCs w:val="24"/>
              <w:lang w:val="en-GB"/>
            </w:rPr>
            <w:t xml:space="preserve">to the </w:t>
          </w:r>
          <w:r w:rsidR="00F25C7A" w:rsidRPr="000D4A19">
            <w:rPr>
              <w:rFonts w:cstheme="minorHAnsi"/>
              <w:sz w:val="24"/>
              <w:szCs w:val="24"/>
              <w:lang w:val="en-GB"/>
            </w:rPr>
            <w:t>Parliament</w:t>
          </w:r>
          <w:r w:rsidR="008336A9" w:rsidRPr="000D4A19">
            <w:rPr>
              <w:rFonts w:cstheme="minorHAnsi"/>
              <w:sz w:val="24"/>
              <w:szCs w:val="24"/>
              <w:lang w:val="en-GB"/>
            </w:rPr>
            <w:t xml:space="preserve"> that </w:t>
          </w:r>
          <w:r w:rsidR="00090ABF" w:rsidRPr="000D4A19">
            <w:rPr>
              <w:rFonts w:cstheme="minorHAnsi"/>
              <w:sz w:val="24"/>
              <w:szCs w:val="24"/>
              <w:lang w:val="en-GB"/>
            </w:rPr>
            <w:t xml:space="preserve">legal obligations have prompted public authorities to handle information in their possession in a more responsible manner, </w:t>
          </w:r>
          <w:r w:rsidR="00090ABF" w:rsidRPr="000D4A19">
            <w:rPr>
              <w:rFonts w:cstheme="minorHAnsi"/>
              <w:i/>
              <w:sz w:val="24"/>
              <w:szCs w:val="24"/>
              <w:lang w:val="en-GB"/>
            </w:rPr>
            <w:t xml:space="preserve">inter alia </w:t>
          </w:r>
          <w:r w:rsidR="00090ABF" w:rsidRPr="000D4A19">
            <w:rPr>
              <w:rFonts w:cstheme="minorHAnsi"/>
              <w:sz w:val="24"/>
              <w:szCs w:val="24"/>
              <w:lang w:val="en-GB"/>
            </w:rPr>
            <w:t>by carrying out the proportionality and public interest test and through the proactive publication of certain information</w:t>
          </w:r>
          <w:r w:rsidR="00BD67CC" w:rsidRPr="000D4A19">
            <w:rPr>
              <w:rFonts w:cstheme="minorHAnsi"/>
              <w:sz w:val="24"/>
              <w:szCs w:val="24"/>
              <w:lang w:val="en-GB"/>
            </w:rPr>
            <w:t>.</w:t>
          </w:r>
          <w:r w:rsidR="008B2901" w:rsidRPr="000D4A19">
            <w:rPr>
              <w:rStyle w:val="Referencafusnote"/>
              <w:rFonts w:cstheme="minorHAnsi"/>
              <w:sz w:val="24"/>
              <w:szCs w:val="24"/>
              <w:lang w:val="en-GB"/>
            </w:rPr>
            <w:footnoteReference w:id="34"/>
          </w:r>
          <w:r w:rsidR="00BD67CC" w:rsidRPr="000D4A19">
            <w:rPr>
              <w:rFonts w:cstheme="minorHAnsi"/>
              <w:sz w:val="24"/>
              <w:szCs w:val="24"/>
              <w:lang w:val="en-GB"/>
            </w:rPr>
            <w:t xml:space="preserve"> </w:t>
          </w:r>
        </w:p>
        <w:p w14:paraId="42D2BF21" w14:textId="77777777" w:rsidR="0024305D" w:rsidRPr="000D4A19" w:rsidRDefault="0024305D" w:rsidP="0024305D">
          <w:pPr>
            <w:tabs>
              <w:tab w:val="left" w:pos="709"/>
              <w:tab w:val="num" w:pos="8222"/>
            </w:tabs>
            <w:spacing w:after="0" w:line="240" w:lineRule="auto"/>
            <w:jc w:val="both"/>
            <w:rPr>
              <w:sz w:val="24"/>
              <w:szCs w:val="24"/>
              <w:lang w:val="en-GB"/>
            </w:rPr>
          </w:pPr>
        </w:p>
        <w:p w14:paraId="65E3DE89" w14:textId="1909F4A5" w:rsidR="005B0954" w:rsidRPr="000D4A19" w:rsidRDefault="0024305D" w:rsidP="005B0954">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sz w:val="24"/>
              <w:szCs w:val="24"/>
              <w:lang w:val="en-GB"/>
            </w:rPr>
            <w:t>The GET also welcomes the continuous commitment to further improve in this area, as is evident from the Anti-Corruption Strategy for the period 2015-2020</w:t>
          </w:r>
          <w:r w:rsidR="004B5B45" w:rsidRPr="000D4A19">
            <w:rPr>
              <w:sz w:val="24"/>
              <w:szCs w:val="24"/>
              <w:lang w:val="en-GB"/>
            </w:rPr>
            <w:t>.</w:t>
          </w:r>
          <w:r w:rsidRPr="000D4A19">
            <w:rPr>
              <w:sz w:val="24"/>
              <w:szCs w:val="24"/>
              <w:lang w:val="en-GB"/>
            </w:rPr>
            <w:t xml:space="preserve"> </w:t>
          </w:r>
          <w:r w:rsidR="004B5B45" w:rsidRPr="000D4A19">
            <w:rPr>
              <w:sz w:val="24"/>
              <w:szCs w:val="24"/>
              <w:lang w:val="en-GB"/>
            </w:rPr>
            <w:t xml:space="preserve">This </w:t>
          </w:r>
          <w:r w:rsidRPr="000D4A19">
            <w:rPr>
              <w:sz w:val="24"/>
              <w:szCs w:val="24"/>
              <w:lang w:val="en-GB"/>
            </w:rPr>
            <w:t xml:space="preserve">includes access to information as one of the horizontal strategic pillars, and for which the successive Action Plans </w:t>
          </w:r>
          <w:r w:rsidR="00C16659" w:rsidRPr="000D4A19">
            <w:rPr>
              <w:sz w:val="24"/>
              <w:szCs w:val="24"/>
              <w:lang w:val="en-GB"/>
            </w:rPr>
            <w:t xml:space="preserve">outline </w:t>
          </w:r>
          <w:r w:rsidRPr="000D4A19">
            <w:rPr>
              <w:sz w:val="24"/>
              <w:szCs w:val="24"/>
              <w:lang w:val="en-GB"/>
            </w:rPr>
            <w:t>a number of measures to address key weaknesses</w:t>
          </w:r>
          <w:r w:rsidR="00E347EF" w:rsidRPr="000D4A19">
            <w:rPr>
              <w:rStyle w:val="Referencafusnote"/>
              <w:sz w:val="24"/>
              <w:szCs w:val="24"/>
              <w:lang w:val="en-GB"/>
            </w:rPr>
            <w:footnoteReference w:id="35"/>
          </w:r>
          <w:r w:rsidRPr="000D4A19">
            <w:rPr>
              <w:sz w:val="24"/>
              <w:szCs w:val="24"/>
              <w:lang w:val="en-GB"/>
            </w:rPr>
            <w:t xml:space="preserve"> (such as an increase in staff of the Information Commissioner’s office, which now – in addition to the Commissioner himself – includes 14 staff members up from five in 2013), as well as the more recent</w:t>
          </w:r>
          <w:r w:rsidR="000E7AFC" w:rsidRPr="000D4A19">
            <w:rPr>
              <w:sz w:val="24"/>
              <w:szCs w:val="24"/>
              <w:lang w:val="en-GB"/>
            </w:rPr>
            <w:t>ly adopted Third</w:t>
          </w:r>
          <w:r w:rsidRPr="000D4A19">
            <w:rPr>
              <w:sz w:val="24"/>
              <w:szCs w:val="24"/>
              <w:lang w:val="en-GB"/>
            </w:rPr>
            <w:t xml:space="preserve"> Action Plan for the Implementation of the Open Government Partnership Initiative 2018-2020 (as adopted in 201</w:t>
          </w:r>
          <w:r w:rsidR="00B42751">
            <w:rPr>
              <w:sz w:val="24"/>
              <w:szCs w:val="24"/>
              <w:lang w:val="en-GB"/>
            </w:rPr>
            <w:t>8</w:t>
          </w:r>
          <w:r w:rsidRPr="000D4A19">
            <w:rPr>
              <w:sz w:val="24"/>
              <w:szCs w:val="24"/>
              <w:lang w:val="en-GB"/>
            </w:rPr>
            <w:t>).</w:t>
          </w:r>
          <w:r w:rsidRPr="000D4A19">
            <w:rPr>
              <w:rStyle w:val="Referencafusnote"/>
              <w:sz w:val="24"/>
              <w:szCs w:val="24"/>
              <w:lang w:val="en-GB"/>
            </w:rPr>
            <w:footnoteReference w:id="36"/>
          </w:r>
        </w:p>
        <w:p w14:paraId="38090AE2" w14:textId="77777777" w:rsidR="0024305D" w:rsidRPr="000D4A19" w:rsidRDefault="0024305D" w:rsidP="0024305D">
          <w:pPr>
            <w:tabs>
              <w:tab w:val="left" w:pos="709"/>
              <w:tab w:val="num" w:pos="8222"/>
            </w:tabs>
            <w:spacing w:after="0" w:line="240" w:lineRule="auto"/>
            <w:jc w:val="both"/>
            <w:rPr>
              <w:rFonts w:cstheme="minorHAnsi"/>
              <w:sz w:val="24"/>
              <w:szCs w:val="24"/>
              <w:lang w:val="en-GB"/>
            </w:rPr>
          </w:pPr>
        </w:p>
        <w:p w14:paraId="33578BF7" w14:textId="06E12C11" w:rsidR="00FD36F7" w:rsidRPr="000D4A19" w:rsidRDefault="005B0954" w:rsidP="00806AF8">
          <w:pPr>
            <w:numPr>
              <w:ilvl w:val="0"/>
              <w:numId w:val="1"/>
            </w:numPr>
            <w:tabs>
              <w:tab w:val="left" w:pos="709"/>
              <w:tab w:val="num" w:pos="1557"/>
              <w:tab w:val="num" w:pos="8222"/>
            </w:tabs>
            <w:spacing w:after="0" w:line="240" w:lineRule="auto"/>
            <w:ind w:left="0" w:firstLine="0"/>
            <w:jc w:val="both"/>
            <w:rPr>
              <w:b/>
              <w:sz w:val="24"/>
              <w:szCs w:val="24"/>
              <w:lang w:val="en-GB"/>
            </w:rPr>
          </w:pPr>
          <w:r w:rsidRPr="000D4A19">
            <w:rPr>
              <w:rFonts w:cstheme="minorHAnsi"/>
              <w:sz w:val="24"/>
              <w:szCs w:val="24"/>
              <w:lang w:val="en-GB"/>
            </w:rPr>
            <w:t>Notwithstanding this overall positive impression of the law in place and the work of the Information Commissioner,</w:t>
          </w:r>
          <w:r w:rsidR="0024305D" w:rsidRPr="000D4A19">
            <w:rPr>
              <w:rFonts w:cstheme="minorHAnsi"/>
              <w:sz w:val="24"/>
              <w:szCs w:val="24"/>
              <w:lang w:val="en-GB"/>
            </w:rPr>
            <w:t xml:space="preserve"> </w:t>
          </w:r>
          <w:r w:rsidR="00B16525" w:rsidRPr="000D4A19">
            <w:rPr>
              <w:rFonts w:cstheme="minorHAnsi"/>
              <w:sz w:val="24"/>
              <w:szCs w:val="24"/>
              <w:lang w:val="en-GB"/>
            </w:rPr>
            <w:t xml:space="preserve">and a </w:t>
          </w:r>
          <w:r w:rsidR="00D920EB" w:rsidRPr="000D4A19">
            <w:rPr>
              <w:rFonts w:cstheme="minorHAnsi"/>
              <w:sz w:val="24"/>
              <w:szCs w:val="24"/>
              <w:lang w:val="en-GB"/>
            </w:rPr>
            <w:t xml:space="preserve">relatively high </w:t>
          </w:r>
          <w:r w:rsidR="00B16525" w:rsidRPr="000D4A19">
            <w:rPr>
              <w:rFonts w:cstheme="minorHAnsi"/>
              <w:sz w:val="24"/>
              <w:szCs w:val="24"/>
              <w:lang w:val="en-GB"/>
            </w:rPr>
            <w:t xml:space="preserve">number of information requests granted within the legal deadlines, </w:t>
          </w:r>
          <w:r w:rsidR="00BC0ABC" w:rsidRPr="000D4A19">
            <w:rPr>
              <w:rFonts w:cstheme="minorHAnsi"/>
              <w:sz w:val="24"/>
              <w:szCs w:val="24"/>
              <w:lang w:val="en-GB"/>
            </w:rPr>
            <w:t xml:space="preserve">some </w:t>
          </w:r>
          <w:r w:rsidR="0024305D" w:rsidRPr="000D4A19">
            <w:rPr>
              <w:sz w:val="24"/>
              <w:szCs w:val="24"/>
              <w:lang w:val="en-GB"/>
            </w:rPr>
            <w:t xml:space="preserve">issues </w:t>
          </w:r>
          <w:r w:rsidR="00BC0ABC" w:rsidRPr="000D4A19">
            <w:rPr>
              <w:sz w:val="24"/>
              <w:szCs w:val="24"/>
              <w:lang w:val="en-GB"/>
            </w:rPr>
            <w:t xml:space="preserve">nevertheless </w:t>
          </w:r>
          <w:r w:rsidR="007123DA" w:rsidRPr="000D4A19">
            <w:rPr>
              <w:rFonts w:cstheme="minorHAnsi"/>
              <w:sz w:val="24"/>
              <w:szCs w:val="24"/>
              <w:lang w:val="en-GB"/>
            </w:rPr>
            <w:t>remain with th</w:t>
          </w:r>
          <w:r w:rsidR="0024305D" w:rsidRPr="000D4A19">
            <w:rPr>
              <w:rFonts w:cstheme="minorHAnsi"/>
              <w:sz w:val="24"/>
              <w:szCs w:val="24"/>
              <w:lang w:val="en-GB"/>
            </w:rPr>
            <w:t>e enforcement of the law</w:t>
          </w:r>
          <w:r w:rsidR="007123DA" w:rsidRPr="000D4A19">
            <w:rPr>
              <w:rFonts w:cstheme="minorHAnsi"/>
              <w:sz w:val="24"/>
              <w:szCs w:val="24"/>
              <w:lang w:val="en-GB"/>
            </w:rPr>
            <w:t>.</w:t>
          </w:r>
          <w:r w:rsidR="00BC0ABC" w:rsidRPr="000D4A19">
            <w:rPr>
              <w:rStyle w:val="Referencafusnote"/>
              <w:rFonts w:cstheme="minorHAnsi"/>
              <w:sz w:val="24"/>
              <w:szCs w:val="24"/>
              <w:lang w:val="en-GB"/>
            </w:rPr>
            <w:footnoteReference w:id="37"/>
          </w:r>
          <w:r w:rsidR="007123DA" w:rsidRPr="000D4A19">
            <w:rPr>
              <w:rFonts w:cstheme="minorHAnsi"/>
              <w:sz w:val="24"/>
              <w:szCs w:val="24"/>
              <w:lang w:val="en-GB"/>
            </w:rPr>
            <w:t xml:space="preserve"> In accordance with Articles 61 and 62 of the Law on the Right of Access to Information, </w:t>
          </w:r>
          <w:r w:rsidR="00C81811" w:rsidRPr="000D4A19">
            <w:rPr>
              <w:rFonts w:cstheme="minorHAnsi"/>
              <w:sz w:val="24"/>
              <w:szCs w:val="24"/>
              <w:lang w:val="en-GB"/>
            </w:rPr>
            <w:t xml:space="preserve">in case of failure to act as instructed by the Commissioner, the Commissioner is authorised to “file an indictment”. Prior to filing indictment with the competent misdemeanour court, </w:t>
          </w:r>
          <w:r w:rsidR="007123DA" w:rsidRPr="000D4A19">
            <w:rPr>
              <w:rFonts w:cstheme="minorHAnsi"/>
              <w:sz w:val="24"/>
              <w:szCs w:val="24"/>
              <w:lang w:val="en-GB"/>
            </w:rPr>
            <w:t xml:space="preserve">the “responsible person” in a public authority </w:t>
          </w:r>
          <w:r w:rsidR="00C81811" w:rsidRPr="000D4A19">
            <w:rPr>
              <w:rFonts w:cstheme="minorHAnsi"/>
              <w:sz w:val="24"/>
              <w:szCs w:val="24"/>
              <w:lang w:val="en-GB"/>
            </w:rPr>
            <w:t xml:space="preserve">is to be notified that an indictment will be filed against them. The offender must sign this notification in person, in order to confirm its receipt </w:t>
          </w:r>
          <w:r w:rsidR="005D4B20" w:rsidRPr="000D4A19">
            <w:rPr>
              <w:rFonts w:cstheme="minorHAnsi"/>
              <w:sz w:val="24"/>
              <w:szCs w:val="24"/>
              <w:lang w:val="en-GB"/>
            </w:rPr>
            <w:t>(i.e. it is not enough that the notice of a fine is served), which significantly affects the efficiency of the procedure. In addition, proceedings before the Misdemeanour Court can last three to four years</w:t>
          </w:r>
          <w:r w:rsidR="00586757" w:rsidRPr="000D4A19">
            <w:rPr>
              <w:rFonts w:cstheme="minorHAnsi"/>
              <w:sz w:val="24"/>
              <w:szCs w:val="24"/>
              <w:lang w:val="en-GB"/>
            </w:rPr>
            <w:t>, at which point the usefulness of the sought information may be obsolete</w:t>
          </w:r>
          <w:r w:rsidR="00C81811" w:rsidRPr="000D4A19">
            <w:rPr>
              <w:rFonts w:cstheme="minorHAnsi"/>
              <w:sz w:val="24"/>
              <w:szCs w:val="24"/>
              <w:lang w:val="en-GB"/>
            </w:rPr>
            <w:t>.</w:t>
          </w:r>
          <w:r w:rsidR="00E768A7" w:rsidRPr="000D4A19">
            <w:rPr>
              <w:rFonts w:cstheme="minorHAnsi"/>
              <w:sz w:val="24"/>
              <w:szCs w:val="24"/>
              <w:lang w:val="en-GB"/>
            </w:rPr>
            <w:t xml:space="preserve"> </w:t>
          </w:r>
          <w:r w:rsidR="006F13FF" w:rsidRPr="000D4A19">
            <w:rPr>
              <w:rFonts w:cstheme="minorHAnsi"/>
              <w:sz w:val="24"/>
              <w:szCs w:val="24"/>
              <w:lang w:val="en-GB"/>
            </w:rPr>
            <w:t xml:space="preserve">It </w:t>
          </w:r>
          <w:r w:rsidR="00E768A7" w:rsidRPr="000D4A19">
            <w:rPr>
              <w:rFonts w:cstheme="minorHAnsi"/>
              <w:sz w:val="24"/>
              <w:szCs w:val="24"/>
              <w:lang w:val="en-GB"/>
            </w:rPr>
            <w:t xml:space="preserve">would </w:t>
          </w:r>
          <w:r w:rsidR="006F13FF" w:rsidRPr="000D4A19">
            <w:rPr>
              <w:rFonts w:cstheme="minorHAnsi"/>
              <w:sz w:val="24"/>
              <w:szCs w:val="24"/>
              <w:lang w:val="en-GB"/>
            </w:rPr>
            <w:t xml:space="preserve">therefore </w:t>
          </w:r>
          <w:r w:rsidR="00E768A7" w:rsidRPr="000D4A19">
            <w:rPr>
              <w:rFonts w:cstheme="minorHAnsi"/>
              <w:sz w:val="24"/>
              <w:szCs w:val="24"/>
              <w:lang w:val="en-GB"/>
            </w:rPr>
            <w:t>be useful if</w:t>
          </w:r>
          <w:r w:rsidR="00FC3750" w:rsidRPr="000D4A19">
            <w:rPr>
              <w:rFonts w:cstheme="minorHAnsi"/>
              <w:sz w:val="24"/>
              <w:szCs w:val="24"/>
              <w:lang w:val="en-GB"/>
            </w:rPr>
            <w:t>,</w:t>
          </w:r>
          <w:r w:rsidR="00E768A7" w:rsidRPr="000D4A19">
            <w:rPr>
              <w:rFonts w:cstheme="minorHAnsi"/>
              <w:sz w:val="24"/>
              <w:szCs w:val="24"/>
              <w:lang w:val="en-GB"/>
            </w:rPr>
            <w:t xml:space="preserve"> </w:t>
          </w:r>
          <w:r w:rsidR="00586757" w:rsidRPr="000D4A19">
            <w:rPr>
              <w:rFonts w:cstheme="minorHAnsi"/>
              <w:sz w:val="24"/>
              <w:szCs w:val="24"/>
              <w:lang w:val="en-GB"/>
            </w:rPr>
            <w:t>for example</w:t>
          </w:r>
          <w:r w:rsidR="00FC3750" w:rsidRPr="000D4A19">
            <w:rPr>
              <w:rFonts w:cstheme="minorHAnsi"/>
              <w:sz w:val="24"/>
              <w:szCs w:val="24"/>
              <w:lang w:val="en-GB"/>
            </w:rPr>
            <w:t>,</w:t>
          </w:r>
          <w:r w:rsidR="00586757" w:rsidRPr="000D4A19">
            <w:rPr>
              <w:rFonts w:cstheme="minorHAnsi"/>
              <w:sz w:val="24"/>
              <w:szCs w:val="24"/>
              <w:lang w:val="en-GB"/>
            </w:rPr>
            <w:t xml:space="preserve"> the possibility </w:t>
          </w:r>
          <w:r w:rsidR="00E768A7" w:rsidRPr="000D4A19">
            <w:rPr>
              <w:rFonts w:cstheme="minorHAnsi"/>
              <w:sz w:val="24"/>
              <w:szCs w:val="24"/>
              <w:lang w:val="en-GB"/>
            </w:rPr>
            <w:t>were explored to provide the Information Commissioner him/herself with the authority to enforce his/her decisions, rather than making him reliant on other authorities for the enforcement of his/her decisions</w:t>
          </w:r>
          <w:r w:rsidR="005D4B20" w:rsidRPr="000D4A19">
            <w:rPr>
              <w:rFonts w:cstheme="minorHAnsi"/>
              <w:sz w:val="24"/>
              <w:szCs w:val="24"/>
              <w:lang w:val="en-GB"/>
            </w:rPr>
            <w:t>.</w:t>
          </w:r>
          <w:r w:rsidR="00E768A7" w:rsidRPr="000D4A19">
            <w:rPr>
              <w:rFonts w:cstheme="minorHAnsi"/>
              <w:sz w:val="24"/>
              <w:szCs w:val="24"/>
              <w:lang w:val="en-GB"/>
            </w:rPr>
            <w:t xml:space="preserve"> </w:t>
          </w:r>
          <w:r w:rsidR="00F25C7A" w:rsidRPr="000D4A19">
            <w:rPr>
              <w:rFonts w:cstheme="minorHAnsi"/>
              <w:sz w:val="24"/>
              <w:szCs w:val="24"/>
              <w:lang w:val="en-GB"/>
            </w:rPr>
            <w:t xml:space="preserve">In </w:t>
          </w:r>
          <w:r w:rsidR="00586757" w:rsidRPr="000D4A19">
            <w:rPr>
              <w:rFonts w:cstheme="minorHAnsi"/>
              <w:sz w:val="24"/>
              <w:szCs w:val="24"/>
              <w:lang w:val="en-GB"/>
            </w:rPr>
            <w:t xml:space="preserve">short, in </w:t>
          </w:r>
          <w:r w:rsidR="00F25C7A" w:rsidRPr="000D4A19">
            <w:rPr>
              <w:rFonts w:cstheme="minorHAnsi"/>
              <w:sz w:val="24"/>
              <w:szCs w:val="24"/>
              <w:lang w:val="en-GB"/>
            </w:rPr>
            <w:t>view of the GET, more can be done</w:t>
          </w:r>
          <w:r w:rsidR="00E768A7" w:rsidRPr="000D4A19">
            <w:rPr>
              <w:rFonts w:cstheme="minorHAnsi"/>
              <w:sz w:val="24"/>
              <w:szCs w:val="24"/>
              <w:lang w:val="en-GB"/>
            </w:rPr>
            <w:t xml:space="preserve"> to provide for a s</w:t>
          </w:r>
          <w:r w:rsidR="00586757" w:rsidRPr="000D4A19">
            <w:rPr>
              <w:rFonts w:cstheme="minorHAnsi"/>
              <w:sz w:val="24"/>
              <w:szCs w:val="24"/>
              <w:lang w:val="en-GB"/>
            </w:rPr>
            <w:t xml:space="preserve">impler and quicker procedure to </w:t>
          </w:r>
          <w:r w:rsidR="00D214D1" w:rsidRPr="000D4A19">
            <w:rPr>
              <w:rFonts w:cstheme="minorHAnsi"/>
              <w:sz w:val="24"/>
              <w:szCs w:val="24"/>
              <w:lang w:val="en-GB"/>
            </w:rPr>
            <w:t>make access to information for citizens more effective</w:t>
          </w:r>
          <w:r w:rsidR="006F13FF" w:rsidRPr="000D4A19">
            <w:rPr>
              <w:rFonts w:cstheme="minorHAnsi"/>
              <w:sz w:val="24"/>
              <w:szCs w:val="24"/>
              <w:lang w:val="en-GB"/>
            </w:rPr>
            <w:t xml:space="preserve">. In this connection, it welcomes that amendments to the provisions governing the enforcement of decisions of the Information Commissioner are being foreseen for 2020 (according to the </w:t>
          </w:r>
          <w:r w:rsidR="00B42751">
            <w:rPr>
              <w:rFonts w:cstheme="minorHAnsi"/>
              <w:sz w:val="24"/>
              <w:szCs w:val="24"/>
              <w:lang w:val="en-GB"/>
            </w:rPr>
            <w:t xml:space="preserve">draft </w:t>
          </w:r>
          <w:r w:rsidR="006F13FF" w:rsidRPr="000D4A19">
            <w:rPr>
              <w:rFonts w:cstheme="minorHAnsi"/>
              <w:sz w:val="24"/>
              <w:szCs w:val="24"/>
              <w:lang w:val="en-GB"/>
            </w:rPr>
            <w:t xml:space="preserve">Legislative Activities Plan of the government). </w:t>
          </w:r>
          <w:r w:rsidR="005D4B20" w:rsidRPr="000D4A19">
            <w:rPr>
              <w:rFonts w:cstheme="minorHAnsi"/>
              <w:sz w:val="24"/>
              <w:szCs w:val="24"/>
              <w:lang w:val="en-GB"/>
            </w:rPr>
            <w:t xml:space="preserve">Therefore, </w:t>
          </w:r>
          <w:r w:rsidR="005D4B20" w:rsidRPr="000D4A19">
            <w:rPr>
              <w:rFonts w:cstheme="minorHAnsi"/>
              <w:b/>
              <w:sz w:val="24"/>
              <w:szCs w:val="24"/>
              <w:lang w:val="en-GB"/>
            </w:rPr>
            <w:t xml:space="preserve">GRECO recommends </w:t>
          </w:r>
          <w:bookmarkStart w:id="51" w:name="_Hlk26535661"/>
          <w:bookmarkStart w:id="52" w:name="_Hlk22745479"/>
          <w:r w:rsidR="005D4B20" w:rsidRPr="000D4A19">
            <w:rPr>
              <w:rFonts w:cstheme="minorHAnsi"/>
              <w:b/>
              <w:sz w:val="24"/>
              <w:szCs w:val="24"/>
              <w:lang w:val="en-GB"/>
            </w:rPr>
            <w:t>t</w:t>
          </w:r>
          <w:r w:rsidR="00586757" w:rsidRPr="000D4A19">
            <w:rPr>
              <w:rFonts w:cstheme="minorHAnsi"/>
              <w:b/>
              <w:sz w:val="24"/>
              <w:szCs w:val="24"/>
              <w:lang w:val="en-GB"/>
            </w:rPr>
            <w:t xml:space="preserve">hat </w:t>
          </w:r>
          <w:r w:rsidR="00BC15ED" w:rsidRPr="000D4A19">
            <w:rPr>
              <w:rFonts w:cstheme="minorHAnsi"/>
              <w:b/>
              <w:sz w:val="24"/>
              <w:szCs w:val="24"/>
              <w:lang w:val="en-GB"/>
            </w:rPr>
            <w:t xml:space="preserve">measures </w:t>
          </w:r>
          <w:r w:rsidR="00586757" w:rsidRPr="000D4A19">
            <w:rPr>
              <w:rFonts w:cstheme="minorHAnsi"/>
              <w:b/>
              <w:sz w:val="24"/>
              <w:szCs w:val="24"/>
              <w:lang w:val="en-GB"/>
            </w:rPr>
            <w:t xml:space="preserve">be taken </w:t>
          </w:r>
          <w:r w:rsidR="00BC15ED" w:rsidRPr="000D4A19">
            <w:rPr>
              <w:rFonts w:cstheme="minorHAnsi"/>
              <w:b/>
              <w:sz w:val="24"/>
              <w:szCs w:val="24"/>
              <w:lang w:val="en-GB"/>
            </w:rPr>
            <w:t>to</w:t>
          </w:r>
          <w:r w:rsidR="005D4B20" w:rsidRPr="000D4A19">
            <w:rPr>
              <w:rFonts w:cstheme="minorHAnsi"/>
              <w:b/>
              <w:sz w:val="24"/>
              <w:szCs w:val="24"/>
              <w:lang w:val="en-GB"/>
            </w:rPr>
            <w:t xml:space="preserve"> </w:t>
          </w:r>
          <w:r w:rsidR="006F13FF" w:rsidRPr="000D4A19">
            <w:rPr>
              <w:rFonts w:cstheme="minorHAnsi"/>
              <w:b/>
              <w:sz w:val="24"/>
              <w:szCs w:val="24"/>
              <w:lang w:val="en-GB"/>
            </w:rPr>
            <w:t xml:space="preserve">strengthen the enforcement of decisions </w:t>
          </w:r>
          <w:r w:rsidR="00CB04EB" w:rsidRPr="000D4A19">
            <w:rPr>
              <w:rFonts w:cstheme="minorHAnsi"/>
              <w:b/>
              <w:sz w:val="24"/>
              <w:szCs w:val="24"/>
              <w:lang w:val="en-GB"/>
            </w:rPr>
            <w:t xml:space="preserve">adopted </w:t>
          </w:r>
          <w:r w:rsidR="001E7B8A" w:rsidRPr="000D4A19">
            <w:rPr>
              <w:rFonts w:cstheme="minorHAnsi"/>
              <w:b/>
              <w:sz w:val="24"/>
              <w:szCs w:val="24"/>
              <w:lang w:val="en-GB"/>
            </w:rPr>
            <w:t xml:space="preserve">by the Information Commissioner </w:t>
          </w:r>
          <w:r w:rsidR="00CB04EB" w:rsidRPr="000D4A19">
            <w:rPr>
              <w:rFonts w:cstheme="minorHAnsi"/>
              <w:b/>
              <w:sz w:val="24"/>
              <w:szCs w:val="24"/>
              <w:lang w:val="en-GB"/>
            </w:rPr>
            <w:t xml:space="preserve">in accordance with </w:t>
          </w:r>
          <w:r w:rsidR="00BC15ED" w:rsidRPr="000D4A19">
            <w:rPr>
              <w:rFonts w:cstheme="minorHAnsi"/>
              <w:b/>
              <w:sz w:val="24"/>
              <w:szCs w:val="24"/>
              <w:lang w:val="en-GB"/>
            </w:rPr>
            <w:t>the Law on the Right of Access to Information</w:t>
          </w:r>
          <w:bookmarkEnd w:id="51"/>
          <w:r w:rsidR="00F25C7A" w:rsidRPr="000D4A19">
            <w:rPr>
              <w:rFonts w:cstheme="minorHAnsi"/>
              <w:b/>
              <w:sz w:val="24"/>
              <w:szCs w:val="24"/>
              <w:lang w:val="en-GB"/>
            </w:rPr>
            <w:t>.</w:t>
          </w:r>
          <w:r w:rsidR="00F06D73" w:rsidRPr="000D4A19">
            <w:rPr>
              <w:rFonts w:cstheme="minorHAnsi"/>
              <w:b/>
              <w:sz w:val="24"/>
              <w:szCs w:val="24"/>
              <w:lang w:val="en-GB"/>
            </w:rPr>
            <w:t xml:space="preserve"> </w:t>
          </w:r>
          <w:bookmarkStart w:id="53" w:name="_Hlk22745494"/>
          <w:bookmarkStart w:id="54" w:name="_Hlk22716804"/>
          <w:bookmarkEnd w:id="52"/>
        </w:p>
        <w:bookmarkEnd w:id="53"/>
        <w:p w14:paraId="2F557C0C" w14:textId="77777777" w:rsidR="00756FEC" w:rsidRPr="000D4A19" w:rsidRDefault="00756FEC" w:rsidP="00756FEC">
          <w:pPr>
            <w:tabs>
              <w:tab w:val="left" w:pos="709"/>
              <w:tab w:val="num" w:pos="8222"/>
            </w:tabs>
            <w:spacing w:after="0" w:line="240" w:lineRule="auto"/>
            <w:jc w:val="both"/>
            <w:rPr>
              <w:b/>
              <w:sz w:val="24"/>
              <w:szCs w:val="24"/>
              <w:lang w:val="en-GB"/>
            </w:rPr>
          </w:pPr>
        </w:p>
        <w:p w14:paraId="755B5961"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55" w:name="_Toc4762856"/>
          <w:bookmarkStart w:id="56" w:name="_Toc25229299"/>
          <w:bookmarkEnd w:id="54"/>
          <w:r w:rsidRPr="000D4A19">
            <w:rPr>
              <w:rFonts w:asciiTheme="minorHAnsi" w:hAnsiTheme="minorHAnsi"/>
              <w:b w:val="0"/>
              <w:i/>
              <w:color w:val="auto"/>
              <w:sz w:val="24"/>
              <w:szCs w:val="24"/>
              <w:lang w:val="en-GB"/>
            </w:rPr>
            <w:t>Transparency of the law-making process</w:t>
          </w:r>
          <w:bookmarkEnd w:id="55"/>
          <w:bookmarkEnd w:id="56"/>
        </w:p>
        <w:p w14:paraId="4C80D021" w14:textId="77777777" w:rsidR="009919AC" w:rsidRPr="000D4A19" w:rsidRDefault="009919AC" w:rsidP="004B7CAB">
          <w:pPr>
            <w:spacing w:after="0" w:line="240" w:lineRule="auto"/>
            <w:jc w:val="both"/>
            <w:rPr>
              <w:sz w:val="24"/>
              <w:szCs w:val="24"/>
              <w:lang w:val="en-GB"/>
            </w:rPr>
          </w:pPr>
        </w:p>
        <w:p w14:paraId="37FD8130" w14:textId="7CCAB185" w:rsidR="00E145FA" w:rsidRPr="000D4A19" w:rsidRDefault="009919AC" w:rsidP="002E116D">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sz w:val="24"/>
              <w:szCs w:val="24"/>
              <w:lang w:val="en-GB"/>
            </w:rPr>
            <w:t xml:space="preserve">The Law on </w:t>
          </w:r>
          <w:r w:rsidR="00E347EF">
            <w:rPr>
              <w:sz w:val="24"/>
              <w:szCs w:val="24"/>
              <w:lang w:val="en-GB"/>
            </w:rPr>
            <w:t xml:space="preserve">the </w:t>
          </w:r>
          <w:r w:rsidRPr="000D4A19">
            <w:rPr>
              <w:sz w:val="24"/>
              <w:szCs w:val="24"/>
              <w:lang w:val="en-GB"/>
            </w:rPr>
            <w:t>Right o</w:t>
          </w:r>
          <w:r w:rsidR="00E347EF">
            <w:rPr>
              <w:sz w:val="24"/>
              <w:szCs w:val="24"/>
              <w:lang w:val="en-GB"/>
            </w:rPr>
            <w:t>f</w:t>
          </w:r>
          <w:r w:rsidRPr="000D4A19">
            <w:rPr>
              <w:sz w:val="24"/>
              <w:szCs w:val="24"/>
              <w:lang w:val="en-GB"/>
            </w:rPr>
            <w:t xml:space="preserve"> Access to Information (which is complemented by </w:t>
          </w:r>
          <w:r w:rsidRPr="000D4A19">
            <w:rPr>
              <w:rFonts w:ascii="Verdana" w:eastAsia="Times New Roman" w:hAnsi="Verdana"/>
              <w:sz w:val="20"/>
              <w:szCs w:val="20"/>
              <w:lang w:val="en-GB" w:eastAsia="fr-FR" w:bidi="x-none"/>
            </w:rPr>
            <w:t xml:space="preserve">the </w:t>
          </w:r>
          <w:r w:rsidRPr="000D4A19">
            <w:rPr>
              <w:rFonts w:ascii="Verdana" w:hAnsi="Verdana" w:cs="Calibri"/>
              <w:sz w:val="20"/>
              <w:szCs w:val="20"/>
              <w:lang w:val="en-GB"/>
            </w:rPr>
            <w:t>Code of Practice on Public Consultation in Drafting Legal Regulations</w:t>
          </w:r>
          <w:r w:rsidRPr="000D4A19">
            <w:rPr>
              <w:rStyle w:val="Referencafusnote"/>
              <w:rFonts w:ascii="Verdana" w:hAnsi="Verdana"/>
              <w:sz w:val="20"/>
              <w:szCs w:val="20"/>
              <w:lang w:val="en-GB"/>
            </w:rPr>
            <w:footnoteReference w:id="38"/>
          </w:r>
          <w:r w:rsidRPr="000D4A19">
            <w:rPr>
              <w:rFonts w:ascii="Verdana" w:hAnsi="Verdana" w:cs="Calibri"/>
              <w:sz w:val="20"/>
              <w:szCs w:val="20"/>
              <w:lang w:val="en-GB"/>
            </w:rPr>
            <w:t xml:space="preserve">) </w:t>
          </w:r>
          <w:r w:rsidRPr="000D4A19">
            <w:rPr>
              <w:sz w:val="24"/>
              <w:szCs w:val="24"/>
              <w:lang w:val="en-GB"/>
            </w:rPr>
            <w:t>prescribes an obligation upon state bodies to conduct an online consultation procedure for draft legislation, by-laws or other regulation or act (strategies, plans and programmes) which affect the interests of citizens and legal persons for a period of 30 days. The public consultation process is conducted through a central internet portal (“e-Consultations”) for a period of 30 days, after which a report containing the received proposals and objections and the reasons for not accepting individual suggestions and objections is to be published. According to the Rules of Procedure of the Government (Article 30), the report is to be attached to the draft legislative proposal. In addition, possibilities are foreseen to conduct the consultation by organising round tables, focus groups, public events or through other appropriate means.</w:t>
          </w:r>
          <w:r w:rsidR="000356CA" w:rsidRPr="000D4A19">
            <w:rPr>
              <w:sz w:val="24"/>
              <w:szCs w:val="24"/>
              <w:lang w:val="en-GB"/>
            </w:rPr>
            <w:t xml:space="preserve"> </w:t>
          </w:r>
        </w:p>
        <w:p w14:paraId="3BEC0D13" w14:textId="69BE6419" w:rsidR="00FD36F7" w:rsidRPr="000D4A19" w:rsidRDefault="00FD36F7" w:rsidP="004B7CAB">
          <w:pPr>
            <w:spacing w:after="0" w:line="240" w:lineRule="auto"/>
            <w:jc w:val="both"/>
            <w:rPr>
              <w:rFonts w:cs="Arial"/>
              <w:sz w:val="24"/>
              <w:szCs w:val="24"/>
              <w:lang w:val="en-GB"/>
            </w:rPr>
          </w:pPr>
        </w:p>
        <w:p w14:paraId="2FAD0515"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57" w:name="_Toc4762857"/>
          <w:bookmarkStart w:id="58" w:name="_Toc25229300"/>
          <w:r w:rsidRPr="000D4A19">
            <w:rPr>
              <w:rFonts w:asciiTheme="minorHAnsi" w:hAnsiTheme="minorHAnsi"/>
              <w:b w:val="0"/>
              <w:i/>
              <w:color w:val="auto"/>
              <w:sz w:val="24"/>
              <w:szCs w:val="24"/>
              <w:lang w:val="en-GB"/>
            </w:rPr>
            <w:t>Third parties and lobbyists</w:t>
          </w:r>
          <w:bookmarkEnd w:id="57"/>
          <w:bookmarkEnd w:id="58"/>
        </w:p>
        <w:p w14:paraId="1BA8B08D" w14:textId="77777777" w:rsidR="009919AC" w:rsidRPr="000D4A19" w:rsidRDefault="009919AC" w:rsidP="004B7CAB">
          <w:pPr>
            <w:spacing w:after="0" w:line="240" w:lineRule="auto"/>
            <w:jc w:val="both"/>
            <w:rPr>
              <w:rFonts w:cstheme="minorHAnsi"/>
              <w:sz w:val="24"/>
              <w:szCs w:val="24"/>
              <w:lang w:val="en-GB"/>
            </w:rPr>
          </w:pPr>
        </w:p>
        <w:p w14:paraId="3189D45C" w14:textId="491D544D"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Verdana"/>
              <w:sz w:val="24"/>
              <w:szCs w:val="24"/>
              <w:lang w:val="en-GB"/>
            </w:rPr>
          </w:pPr>
          <w:r w:rsidRPr="000D4A19">
            <w:rPr>
              <w:rFonts w:cstheme="minorHAnsi"/>
              <w:sz w:val="24"/>
              <w:szCs w:val="24"/>
              <w:lang w:val="en-GB"/>
            </w:rPr>
            <w:t>There are no rules in place that regulate contacts of PTEF</w:t>
          </w:r>
          <w:r w:rsidR="00C16659" w:rsidRPr="000D4A19">
            <w:rPr>
              <w:rFonts w:cstheme="minorHAnsi"/>
              <w:sz w:val="24"/>
              <w:szCs w:val="24"/>
              <w:lang w:val="en-GB"/>
            </w:rPr>
            <w:t>s</w:t>
          </w:r>
          <w:r w:rsidRPr="000D4A19">
            <w:rPr>
              <w:rFonts w:cstheme="minorHAnsi"/>
              <w:sz w:val="24"/>
              <w:szCs w:val="24"/>
              <w:lang w:val="en-GB"/>
            </w:rPr>
            <w:t xml:space="preserve"> with lobbyists and other third parties seeking to influence the government’s decision-making process. There are no reporting or disclosure requirements applicable to those who seek to influence government actions and policies. However, the need to provide for increased transparency of lobbying activities has been recognised in the Anti-Corruption Strategy and in the preparation of the corresponding Action Plan for 2019 and 2020. </w:t>
          </w:r>
          <w:r w:rsidR="00250F21" w:rsidRPr="000D4A19">
            <w:rPr>
              <w:rFonts w:cstheme="minorHAnsi"/>
              <w:sz w:val="24"/>
              <w:szCs w:val="24"/>
              <w:lang w:val="en-GB"/>
            </w:rPr>
            <w:t xml:space="preserve">To date, however, no legislative or </w:t>
          </w:r>
          <w:r w:rsidR="00C16659" w:rsidRPr="000D4A19">
            <w:rPr>
              <w:rFonts w:cstheme="minorHAnsi"/>
              <w:sz w:val="24"/>
              <w:szCs w:val="24"/>
              <w:lang w:val="en-GB"/>
            </w:rPr>
            <w:t xml:space="preserve">other </w:t>
          </w:r>
          <w:r w:rsidR="00250F21" w:rsidRPr="000D4A19">
            <w:rPr>
              <w:rFonts w:cstheme="minorHAnsi"/>
              <w:sz w:val="24"/>
              <w:szCs w:val="24"/>
              <w:lang w:val="en-GB"/>
            </w:rPr>
            <w:t>initiative</w:t>
          </w:r>
          <w:r w:rsidR="00C16659" w:rsidRPr="000D4A19">
            <w:rPr>
              <w:rFonts w:cstheme="minorHAnsi"/>
              <w:sz w:val="24"/>
              <w:szCs w:val="24"/>
              <w:lang w:val="en-GB"/>
            </w:rPr>
            <w:t xml:space="preserve"> in this field</w:t>
          </w:r>
          <w:r w:rsidR="00250F21" w:rsidRPr="000D4A19">
            <w:rPr>
              <w:rFonts w:cstheme="minorHAnsi"/>
              <w:sz w:val="24"/>
              <w:szCs w:val="24"/>
              <w:lang w:val="en-GB"/>
            </w:rPr>
            <w:t xml:space="preserve"> has seen the light. </w:t>
          </w:r>
          <w:r w:rsidR="008704DF" w:rsidRPr="000D4A19">
            <w:rPr>
              <w:rFonts w:cstheme="minorHAnsi"/>
              <w:sz w:val="24"/>
              <w:szCs w:val="24"/>
              <w:lang w:val="en-GB"/>
            </w:rPr>
            <w:t xml:space="preserve">The GET heard several times during the visit that there was a real need to </w:t>
          </w:r>
          <w:r w:rsidR="00FC3750" w:rsidRPr="000D4A19">
            <w:rPr>
              <w:rFonts w:cstheme="minorHAnsi"/>
              <w:sz w:val="24"/>
              <w:szCs w:val="24"/>
              <w:lang w:val="en-GB"/>
            </w:rPr>
            <w:t>address</w:t>
          </w:r>
          <w:r w:rsidR="008704DF" w:rsidRPr="000D4A19">
            <w:rPr>
              <w:rFonts w:cstheme="minorHAnsi"/>
              <w:sz w:val="24"/>
              <w:szCs w:val="24"/>
              <w:lang w:val="en-GB"/>
            </w:rPr>
            <w:t xml:space="preserve"> the issue of lobbying</w:t>
          </w:r>
          <w:r w:rsidR="00CE1261" w:rsidRPr="000D4A19">
            <w:rPr>
              <w:rFonts w:cstheme="minorHAnsi"/>
              <w:sz w:val="24"/>
              <w:szCs w:val="24"/>
              <w:lang w:val="en-GB"/>
            </w:rPr>
            <w:t>, as there was a clear lack of transparency surrounding the interests and people influencing</w:t>
          </w:r>
          <w:r w:rsidR="00846396" w:rsidRPr="000D4A19">
            <w:rPr>
              <w:rFonts w:cstheme="minorHAnsi"/>
              <w:sz w:val="24"/>
              <w:szCs w:val="24"/>
              <w:lang w:val="en-GB"/>
            </w:rPr>
            <w:t xml:space="preserve"> policies and decisions </w:t>
          </w:r>
          <w:r w:rsidR="001174D9" w:rsidRPr="000D4A19">
            <w:rPr>
              <w:rFonts w:cstheme="minorHAnsi"/>
              <w:sz w:val="24"/>
              <w:szCs w:val="24"/>
              <w:lang w:val="en-GB"/>
            </w:rPr>
            <w:t xml:space="preserve">of the government. </w:t>
          </w:r>
          <w:r w:rsidR="00E347EF">
            <w:rPr>
              <w:rFonts w:cstheme="minorHAnsi"/>
              <w:sz w:val="24"/>
              <w:szCs w:val="24"/>
              <w:lang w:val="en-GB"/>
            </w:rPr>
            <w:t>It learned that t</w:t>
          </w:r>
          <w:r w:rsidR="008704DF" w:rsidRPr="000D4A19">
            <w:rPr>
              <w:rFonts w:cstheme="minorHAnsi"/>
              <w:sz w:val="24"/>
              <w:szCs w:val="24"/>
              <w:lang w:val="en-GB"/>
            </w:rPr>
            <w:t xml:space="preserve">he professional lobbying sector </w:t>
          </w:r>
          <w:r w:rsidR="00586757" w:rsidRPr="000D4A19">
            <w:rPr>
              <w:rFonts w:cstheme="minorHAnsi"/>
              <w:sz w:val="24"/>
              <w:szCs w:val="24"/>
              <w:lang w:val="en-GB"/>
            </w:rPr>
            <w:t xml:space="preserve">is </w:t>
          </w:r>
          <w:r w:rsidR="00CE1261" w:rsidRPr="000D4A19">
            <w:rPr>
              <w:rFonts w:cstheme="minorHAnsi"/>
              <w:sz w:val="24"/>
              <w:szCs w:val="24"/>
              <w:lang w:val="en-GB"/>
            </w:rPr>
            <w:t>relatively small</w:t>
          </w:r>
          <w:r w:rsidR="0041463D" w:rsidRPr="000D4A19">
            <w:rPr>
              <w:rFonts w:cstheme="minorHAnsi"/>
              <w:sz w:val="24"/>
              <w:szCs w:val="24"/>
              <w:lang w:val="en-GB"/>
            </w:rPr>
            <w:t xml:space="preserve"> in Croatia</w:t>
          </w:r>
          <w:r w:rsidR="00D33AD2" w:rsidRPr="000D4A19">
            <w:rPr>
              <w:rFonts w:cstheme="minorHAnsi"/>
              <w:sz w:val="24"/>
              <w:szCs w:val="24"/>
              <w:lang w:val="en-GB"/>
            </w:rPr>
            <w:t>. Direct</w:t>
          </w:r>
          <w:r w:rsidR="00CE1261" w:rsidRPr="000D4A19">
            <w:rPr>
              <w:rFonts w:cstheme="minorHAnsi"/>
              <w:sz w:val="24"/>
              <w:szCs w:val="24"/>
              <w:lang w:val="en-GB"/>
            </w:rPr>
            <w:t xml:space="preserve"> </w:t>
          </w:r>
          <w:r w:rsidR="00846396" w:rsidRPr="000D4A19">
            <w:rPr>
              <w:rFonts w:cstheme="minorHAnsi"/>
              <w:sz w:val="24"/>
              <w:szCs w:val="24"/>
              <w:lang w:val="en-GB"/>
            </w:rPr>
            <w:t>contacts between representatives of businesses and members of the government</w:t>
          </w:r>
          <w:r w:rsidR="0041463D" w:rsidRPr="000D4A19">
            <w:rPr>
              <w:rFonts w:cstheme="minorHAnsi"/>
              <w:sz w:val="24"/>
              <w:szCs w:val="24"/>
              <w:lang w:val="en-GB"/>
            </w:rPr>
            <w:t xml:space="preserve"> </w:t>
          </w:r>
          <w:r w:rsidR="00D33AD2" w:rsidRPr="000D4A19">
            <w:rPr>
              <w:rFonts w:cstheme="minorHAnsi"/>
              <w:sz w:val="24"/>
              <w:szCs w:val="24"/>
              <w:lang w:val="en-GB"/>
            </w:rPr>
            <w:t>are commonplace</w:t>
          </w:r>
          <w:r w:rsidR="00846396" w:rsidRPr="000D4A19">
            <w:rPr>
              <w:rFonts w:cstheme="minorHAnsi"/>
              <w:sz w:val="24"/>
              <w:szCs w:val="24"/>
              <w:lang w:val="en-GB"/>
            </w:rPr>
            <w:t xml:space="preserve">, so any regulation of lobbying should explicitly include other </w:t>
          </w:r>
          <w:r w:rsidR="0041463D" w:rsidRPr="000D4A19">
            <w:rPr>
              <w:rFonts w:cstheme="minorHAnsi"/>
              <w:sz w:val="24"/>
              <w:szCs w:val="24"/>
              <w:lang w:val="en-GB"/>
            </w:rPr>
            <w:t>third parties seeking to influence government’s decision-making, for example by registering “who met whom about what”, by providing more transparency about the interests people represent when they en</w:t>
          </w:r>
          <w:r w:rsidR="001174D9" w:rsidRPr="000D4A19">
            <w:rPr>
              <w:rFonts w:cstheme="minorHAnsi"/>
              <w:sz w:val="24"/>
              <w:szCs w:val="24"/>
              <w:lang w:val="en-GB"/>
            </w:rPr>
            <w:t>ter governmental working groups</w:t>
          </w:r>
          <w:r w:rsidR="00223F48" w:rsidRPr="000D4A19">
            <w:rPr>
              <w:rFonts w:cstheme="minorHAnsi"/>
              <w:sz w:val="24"/>
              <w:szCs w:val="24"/>
              <w:lang w:val="en-GB"/>
            </w:rPr>
            <w:t xml:space="preserve"> or other measures to contribute to this purpose. In light of this, </w:t>
          </w:r>
          <w:r w:rsidR="00223F48" w:rsidRPr="000D4A19">
            <w:rPr>
              <w:rFonts w:cstheme="minorHAnsi"/>
              <w:b/>
              <w:sz w:val="24"/>
              <w:szCs w:val="24"/>
              <w:lang w:val="en-GB"/>
            </w:rPr>
            <w:t xml:space="preserve">GRECO recommends </w:t>
          </w:r>
          <w:bookmarkStart w:id="59" w:name="_Hlk26535685"/>
          <w:bookmarkStart w:id="60" w:name="_Hlk22745543"/>
          <w:r w:rsidR="00D66410" w:rsidRPr="000D4A19">
            <w:rPr>
              <w:rFonts w:cstheme="minorHAnsi"/>
              <w:b/>
              <w:sz w:val="24"/>
              <w:szCs w:val="24"/>
              <w:lang w:val="en-GB"/>
            </w:rPr>
            <w:t xml:space="preserve">that </w:t>
          </w:r>
          <w:r w:rsidR="0006008B" w:rsidRPr="000D4A19">
            <w:rPr>
              <w:rFonts w:cstheme="minorHAnsi"/>
              <w:b/>
              <w:sz w:val="24"/>
              <w:szCs w:val="24"/>
              <w:lang w:val="en-GB"/>
            </w:rPr>
            <w:t>(i) rules</w:t>
          </w:r>
          <w:r w:rsidR="00150465" w:rsidRPr="000D4A19">
            <w:rPr>
              <w:rFonts w:cstheme="minorHAnsi"/>
              <w:b/>
              <w:sz w:val="24"/>
              <w:szCs w:val="24"/>
              <w:lang w:val="en-GB"/>
            </w:rPr>
            <w:t xml:space="preserve"> be introduced</w:t>
          </w:r>
          <w:r w:rsidR="0006008B" w:rsidRPr="000D4A19">
            <w:rPr>
              <w:rFonts w:cstheme="minorHAnsi"/>
              <w:b/>
              <w:sz w:val="24"/>
              <w:szCs w:val="24"/>
              <w:lang w:val="en-GB"/>
            </w:rPr>
            <w:t xml:space="preserve"> on how persons entrusted with top executive functions engage in contacts with lobbyists and other third parties who seek to influence governmental legislative and other activities; and (ii) suff</w:t>
          </w:r>
          <w:r w:rsidR="007033B6" w:rsidRPr="000D4A19">
            <w:rPr>
              <w:rFonts w:cstheme="minorHAnsi"/>
              <w:b/>
              <w:sz w:val="24"/>
              <w:szCs w:val="24"/>
              <w:lang w:val="en-GB"/>
            </w:rPr>
            <w:t>icient information about the purpose of these contacts be disclosed, such as the identity of the person(s) with who</w:t>
          </w:r>
          <w:r w:rsidR="00FC3750" w:rsidRPr="000D4A19">
            <w:rPr>
              <w:rFonts w:cstheme="minorHAnsi"/>
              <w:b/>
              <w:sz w:val="24"/>
              <w:szCs w:val="24"/>
              <w:lang w:val="en-GB"/>
            </w:rPr>
            <w:t>m</w:t>
          </w:r>
          <w:r w:rsidR="007033B6" w:rsidRPr="000D4A19">
            <w:rPr>
              <w:rFonts w:cstheme="minorHAnsi"/>
              <w:b/>
              <w:sz w:val="24"/>
              <w:szCs w:val="24"/>
              <w:lang w:val="en-GB"/>
            </w:rPr>
            <w:t xml:space="preserve"> (or on whose behalf) the meeting(s) took place and the specific subject matter(s) of the discussion</w:t>
          </w:r>
          <w:bookmarkEnd w:id="59"/>
          <w:r w:rsidR="007033B6" w:rsidRPr="000D4A19">
            <w:rPr>
              <w:rFonts w:cstheme="minorHAnsi"/>
              <w:b/>
              <w:sz w:val="24"/>
              <w:szCs w:val="24"/>
              <w:lang w:val="en-GB"/>
            </w:rPr>
            <w:t xml:space="preserve">. </w:t>
          </w:r>
        </w:p>
        <w:bookmarkEnd w:id="60"/>
        <w:p w14:paraId="111524E2" w14:textId="77777777" w:rsidR="001C1D2E" w:rsidRPr="000D4A19" w:rsidRDefault="001C1D2E" w:rsidP="004B7CAB">
          <w:pPr>
            <w:pStyle w:val="Odlomakpopisa"/>
            <w:spacing w:after="0" w:line="240" w:lineRule="auto"/>
            <w:ind w:left="0"/>
            <w:jc w:val="both"/>
            <w:rPr>
              <w:rFonts w:cs="Arial"/>
              <w:b/>
              <w:sz w:val="24"/>
              <w:szCs w:val="24"/>
              <w:lang w:val="en-GB"/>
            </w:rPr>
          </w:pPr>
        </w:p>
        <w:p w14:paraId="39419791" w14:textId="77777777" w:rsidR="009919AC" w:rsidRPr="000D4A19" w:rsidRDefault="009919AC" w:rsidP="004B7CAB">
          <w:pPr>
            <w:pStyle w:val="Naslov3"/>
            <w:keepNext w:val="0"/>
            <w:keepLines w:val="0"/>
            <w:spacing w:before="0" w:line="240" w:lineRule="auto"/>
            <w:jc w:val="both"/>
            <w:rPr>
              <w:rFonts w:asciiTheme="minorHAnsi" w:hAnsiTheme="minorHAnsi"/>
              <w:b w:val="0"/>
              <w:i/>
              <w:color w:val="auto"/>
              <w:sz w:val="24"/>
              <w:szCs w:val="24"/>
              <w:lang w:val="en-GB"/>
            </w:rPr>
          </w:pPr>
          <w:bookmarkStart w:id="61" w:name="_Toc4762858"/>
          <w:bookmarkStart w:id="62" w:name="_Toc25229301"/>
          <w:r w:rsidRPr="000D4A19">
            <w:rPr>
              <w:rFonts w:asciiTheme="minorHAnsi" w:hAnsiTheme="minorHAnsi"/>
              <w:b w:val="0"/>
              <w:i/>
              <w:color w:val="auto"/>
              <w:sz w:val="24"/>
              <w:szCs w:val="24"/>
              <w:lang w:val="en-GB"/>
            </w:rPr>
            <w:t>Control mechanisms</w:t>
          </w:r>
          <w:bookmarkEnd w:id="61"/>
          <w:bookmarkEnd w:id="62"/>
        </w:p>
        <w:p w14:paraId="2460657A" w14:textId="77777777" w:rsidR="009919AC" w:rsidRPr="000D4A19" w:rsidRDefault="009919AC" w:rsidP="004B7CAB">
          <w:pPr>
            <w:spacing w:after="0" w:line="240" w:lineRule="auto"/>
            <w:jc w:val="both"/>
            <w:rPr>
              <w:rFonts w:cstheme="minorHAnsi"/>
              <w:sz w:val="24"/>
              <w:szCs w:val="24"/>
              <w:lang w:val="en-GB"/>
            </w:rPr>
          </w:pPr>
        </w:p>
        <w:p w14:paraId="2121BDF5" w14:textId="4ABEAF3C"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The monitoring function of the </w:t>
          </w:r>
          <w:r w:rsidRPr="000D4A19">
            <w:rPr>
              <w:rFonts w:cstheme="minorHAnsi"/>
              <w:sz w:val="24"/>
              <w:szCs w:val="24"/>
              <w:u w:val="single"/>
              <w:lang w:val="en-GB"/>
            </w:rPr>
            <w:t>Parliament</w:t>
          </w:r>
          <w:r w:rsidRPr="000D4A19">
            <w:rPr>
              <w:rFonts w:cstheme="minorHAnsi"/>
              <w:sz w:val="24"/>
              <w:szCs w:val="24"/>
              <w:lang w:val="en-GB"/>
            </w:rPr>
            <w:t xml:space="preserve"> includes the setting</w:t>
          </w:r>
          <w:r w:rsidR="00FC3750" w:rsidRPr="000D4A19">
            <w:rPr>
              <w:rFonts w:cstheme="minorHAnsi"/>
              <w:sz w:val="24"/>
              <w:szCs w:val="24"/>
              <w:lang w:val="en-GB"/>
            </w:rPr>
            <w:t>-</w:t>
          </w:r>
          <w:r w:rsidRPr="000D4A19">
            <w:rPr>
              <w:rFonts w:cstheme="minorHAnsi"/>
              <w:sz w:val="24"/>
              <w:szCs w:val="24"/>
              <w:lang w:val="en-GB"/>
            </w:rPr>
            <w:t>up of commissions of inquiry on issues of public interest (Article 92, Constitution, which is further detailed in the Law on Investigative Commissions, Official Gazette No. 24/1996)</w:t>
          </w:r>
          <w:r w:rsidR="006F13FF" w:rsidRPr="000D4A19">
            <w:rPr>
              <w:rFonts w:cstheme="minorHAnsi"/>
              <w:sz w:val="24"/>
              <w:szCs w:val="24"/>
              <w:lang w:val="en-GB"/>
            </w:rPr>
            <w:t>,</w:t>
          </w:r>
          <w:r w:rsidRPr="000D4A19">
            <w:rPr>
              <w:rFonts w:cstheme="minorHAnsi"/>
              <w:sz w:val="24"/>
              <w:szCs w:val="24"/>
              <w:lang w:val="en-GB"/>
            </w:rPr>
            <w:t xml:space="preserve"> questions to individual ministers and the government as a whole (Article 86, Constitution) – both orally and in writing – interpellations and votes of confidence.</w:t>
          </w:r>
          <w:r w:rsidR="00806AF8" w:rsidRPr="000D4A19">
            <w:rPr>
              <w:rStyle w:val="Referencafusnote"/>
              <w:rFonts w:cstheme="minorHAnsi"/>
              <w:sz w:val="24"/>
              <w:szCs w:val="24"/>
              <w:lang w:val="en-GB"/>
            </w:rPr>
            <w:footnoteReference w:id="39"/>
          </w:r>
          <w:r w:rsidRPr="000D4A19">
            <w:rPr>
              <w:rFonts w:cstheme="minorHAnsi"/>
              <w:sz w:val="24"/>
              <w:szCs w:val="24"/>
              <w:lang w:val="en-GB"/>
            </w:rPr>
            <w:t xml:space="preserve"> </w:t>
          </w:r>
        </w:p>
        <w:p w14:paraId="2C46FBB2" w14:textId="77777777" w:rsidR="00C85D38" w:rsidRPr="000D4A19" w:rsidRDefault="00C85D38" w:rsidP="00C85D38">
          <w:pPr>
            <w:tabs>
              <w:tab w:val="left" w:pos="709"/>
              <w:tab w:val="num" w:pos="8222"/>
            </w:tabs>
            <w:spacing w:after="0" w:line="240" w:lineRule="auto"/>
            <w:jc w:val="both"/>
            <w:rPr>
              <w:rFonts w:cstheme="minorHAnsi"/>
              <w:sz w:val="24"/>
              <w:szCs w:val="24"/>
              <w:lang w:val="en-GB"/>
            </w:rPr>
          </w:pPr>
        </w:p>
        <w:p w14:paraId="6CF1129B" w14:textId="3BA89EA1" w:rsidR="00C85D38" w:rsidRPr="000D4A19" w:rsidRDefault="00FC3750"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u w:val="single"/>
              <w:lang w:val="en-GB"/>
            </w:rPr>
            <w:t xml:space="preserve">The </w:t>
          </w:r>
          <w:r w:rsidR="00C85D38" w:rsidRPr="000D4A19">
            <w:rPr>
              <w:rFonts w:cstheme="minorHAnsi"/>
              <w:sz w:val="24"/>
              <w:szCs w:val="24"/>
              <w:u w:val="single"/>
              <w:lang w:val="en-GB"/>
            </w:rPr>
            <w:t>Ministry of Finance</w:t>
          </w:r>
          <w:r w:rsidR="00C85D38" w:rsidRPr="000D4A19">
            <w:rPr>
              <w:rFonts w:cstheme="minorHAnsi"/>
              <w:sz w:val="24"/>
              <w:szCs w:val="24"/>
              <w:lang w:val="en-GB"/>
            </w:rPr>
            <w:t xml:space="preserve"> carries out financial and budget supervision. Financial </w:t>
          </w:r>
          <w:r w:rsidR="000C52DB" w:rsidRPr="000D4A19">
            <w:rPr>
              <w:rFonts w:cstheme="minorHAnsi"/>
              <w:sz w:val="24"/>
              <w:szCs w:val="24"/>
              <w:lang w:val="en-GB"/>
            </w:rPr>
            <w:t xml:space="preserve">and budget </w:t>
          </w:r>
          <w:r w:rsidR="00C85D38" w:rsidRPr="000D4A19">
            <w:rPr>
              <w:rFonts w:cstheme="minorHAnsi"/>
              <w:sz w:val="24"/>
              <w:szCs w:val="24"/>
              <w:lang w:val="en-GB"/>
            </w:rPr>
            <w:t>supervision is carried out by a specialised inspection service, on the basis of requests of state administrative entities as well as natural and legal persons, when doubts are raised about irregularities (or fraud) in the management of budget resources.</w:t>
          </w:r>
          <w:r w:rsidR="00C16659" w:rsidRPr="000D4A19">
            <w:rPr>
              <w:rStyle w:val="Referencafusnote"/>
              <w:rFonts w:cstheme="minorHAnsi"/>
              <w:sz w:val="24"/>
              <w:szCs w:val="24"/>
              <w:lang w:val="en-GB"/>
            </w:rPr>
            <w:footnoteReference w:id="40"/>
          </w:r>
          <w:r w:rsidR="00C85D38" w:rsidRPr="000D4A19">
            <w:rPr>
              <w:rFonts w:cstheme="minorHAnsi"/>
              <w:sz w:val="24"/>
              <w:szCs w:val="24"/>
              <w:lang w:val="en-GB"/>
            </w:rPr>
            <w:t xml:space="preserve"> </w:t>
          </w:r>
          <w:r w:rsidR="000C52DB" w:rsidRPr="000D4A19">
            <w:rPr>
              <w:rFonts w:cstheme="minorHAnsi"/>
              <w:sz w:val="24"/>
              <w:szCs w:val="24"/>
              <w:lang w:val="en-GB"/>
            </w:rPr>
            <w:t xml:space="preserve">This </w:t>
          </w:r>
          <w:r w:rsidR="00C85D38" w:rsidRPr="000D4A19">
            <w:rPr>
              <w:rFonts w:cstheme="minorHAnsi"/>
              <w:sz w:val="24"/>
              <w:szCs w:val="24"/>
              <w:lang w:val="en-GB"/>
            </w:rPr>
            <w:t xml:space="preserve">supervision is not carried out according to a work plan, but </w:t>
          </w:r>
          <w:r w:rsidR="003C4D1B" w:rsidRPr="000D4A19">
            <w:rPr>
              <w:rFonts w:cstheme="minorHAnsi"/>
              <w:sz w:val="24"/>
              <w:szCs w:val="24"/>
              <w:lang w:val="en-GB"/>
            </w:rPr>
            <w:t>in accordance with certain criteria</w:t>
          </w:r>
          <w:r w:rsidR="000C52DB" w:rsidRPr="000D4A19">
            <w:rPr>
              <w:rFonts w:cstheme="minorHAnsi"/>
              <w:sz w:val="24"/>
              <w:szCs w:val="24"/>
              <w:lang w:val="en-GB"/>
            </w:rPr>
            <w:t xml:space="preserve"> setting the priorities </w:t>
          </w:r>
          <w:r w:rsidR="003C4D1B" w:rsidRPr="000D4A19">
            <w:rPr>
              <w:rFonts w:cstheme="minorHAnsi"/>
              <w:sz w:val="24"/>
              <w:szCs w:val="24"/>
              <w:lang w:val="en-GB"/>
            </w:rPr>
            <w:t>(with requests by the State Attorney’s Office, USKOK and PN</w:t>
          </w:r>
          <w:r w:rsidR="00C16659" w:rsidRPr="000D4A19">
            <w:rPr>
              <w:rFonts w:cstheme="minorHAnsi"/>
              <w:sz w:val="24"/>
              <w:szCs w:val="24"/>
              <w:lang w:val="en-GB"/>
            </w:rPr>
            <w:t>-</w:t>
          </w:r>
          <w:r w:rsidR="003C4D1B" w:rsidRPr="000D4A19">
            <w:rPr>
              <w:rFonts w:cstheme="minorHAnsi"/>
              <w:sz w:val="24"/>
              <w:szCs w:val="24"/>
              <w:lang w:val="en-GB"/>
            </w:rPr>
            <w:t>USKOK getting priority in this regard).</w:t>
          </w:r>
          <w:r w:rsidR="00586757" w:rsidRPr="000D4A19">
            <w:rPr>
              <w:rStyle w:val="Referencafusnote"/>
              <w:rFonts w:cstheme="minorHAnsi"/>
              <w:sz w:val="24"/>
              <w:szCs w:val="24"/>
              <w:lang w:val="en-GB"/>
            </w:rPr>
            <w:footnoteReference w:id="41"/>
          </w:r>
          <w:r w:rsidR="003C4D1B" w:rsidRPr="000D4A19">
            <w:rPr>
              <w:rFonts w:cstheme="minorHAnsi"/>
              <w:sz w:val="24"/>
              <w:szCs w:val="24"/>
              <w:lang w:val="en-GB"/>
            </w:rPr>
            <w:t xml:space="preserve"> </w:t>
          </w:r>
        </w:p>
        <w:p w14:paraId="2681222B" w14:textId="77777777" w:rsidR="009919AC" w:rsidRPr="000D4A19" w:rsidRDefault="009919AC" w:rsidP="004B7CAB">
          <w:pPr>
            <w:tabs>
              <w:tab w:val="left" w:pos="709"/>
              <w:tab w:val="num" w:pos="8222"/>
            </w:tabs>
            <w:spacing w:after="0" w:line="240" w:lineRule="auto"/>
            <w:jc w:val="both"/>
            <w:rPr>
              <w:rFonts w:cstheme="minorHAnsi"/>
              <w:sz w:val="24"/>
              <w:szCs w:val="24"/>
              <w:lang w:val="en-GB"/>
            </w:rPr>
          </w:pPr>
        </w:p>
        <w:p w14:paraId="43088E02" w14:textId="529534C7"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The </w:t>
          </w:r>
          <w:r w:rsidRPr="000D4A19">
            <w:rPr>
              <w:rFonts w:cstheme="minorHAnsi"/>
              <w:sz w:val="24"/>
              <w:szCs w:val="24"/>
              <w:u w:val="single"/>
              <w:lang w:val="en-GB"/>
            </w:rPr>
            <w:t>State Audit Office</w:t>
          </w:r>
          <w:r w:rsidRPr="000D4A19">
            <w:rPr>
              <w:rFonts w:cstheme="minorHAnsi"/>
              <w:sz w:val="24"/>
              <w:szCs w:val="24"/>
              <w:lang w:val="en-GB"/>
            </w:rPr>
            <w:t xml:space="preserve"> is the highest body for the supervision of state accounts, the state budget and all public spending in Croatia. As prescribed by the Constitution, the State Audit Office is autonomous and independent in its work. It is led by the Auditor General who</w:t>
          </w:r>
          <w:r w:rsidR="0000257E" w:rsidRPr="000D4A19">
            <w:rPr>
              <w:rFonts w:cstheme="minorHAnsi"/>
              <w:sz w:val="24"/>
              <w:szCs w:val="24"/>
              <w:lang w:val="en-GB"/>
            </w:rPr>
            <w:t xml:space="preserve"> reports to the Parliament</w:t>
          </w:r>
          <w:r w:rsidRPr="000D4A19">
            <w:rPr>
              <w:rFonts w:cstheme="minorHAnsi"/>
              <w:sz w:val="24"/>
              <w:szCs w:val="24"/>
              <w:lang w:val="en-GB"/>
            </w:rPr>
            <w:t>. In carrying out its audits, in line with its Annual Programme and Work Plan and in response to justified requests by the</w:t>
          </w:r>
          <w:r w:rsidR="0000257E" w:rsidRPr="000D4A19">
            <w:rPr>
              <w:rFonts w:cstheme="minorHAnsi"/>
              <w:sz w:val="24"/>
              <w:szCs w:val="24"/>
              <w:lang w:val="en-GB"/>
            </w:rPr>
            <w:t xml:space="preserve"> Parliament</w:t>
          </w:r>
          <w:r w:rsidRPr="000D4A19">
            <w:rPr>
              <w:rFonts w:cstheme="minorHAnsi"/>
              <w:sz w:val="24"/>
              <w:szCs w:val="24"/>
              <w:lang w:val="en-GB"/>
            </w:rPr>
            <w:t xml:space="preserve">, </w:t>
          </w:r>
          <w:r w:rsidR="001068AD" w:rsidRPr="000D4A19">
            <w:rPr>
              <w:rFonts w:cstheme="minorHAnsi"/>
              <w:sz w:val="24"/>
              <w:szCs w:val="24"/>
              <w:lang w:val="en-GB"/>
            </w:rPr>
            <w:t xml:space="preserve">the State Audit Office </w:t>
          </w:r>
          <w:r w:rsidRPr="000D4A19">
            <w:rPr>
              <w:rFonts w:cstheme="minorHAnsi"/>
              <w:sz w:val="24"/>
              <w:szCs w:val="24"/>
              <w:lang w:val="en-GB"/>
            </w:rPr>
            <w:t xml:space="preserve">can access any information regarding the government’s financial transactions. The scope of its Annual Programme and Work Plan is decided on the basis of provisions of the State Audit Office Act, risk assessment, </w:t>
          </w:r>
          <w:r w:rsidRPr="000D4A19">
            <w:rPr>
              <w:rFonts w:cs="Arial"/>
              <w:sz w:val="24"/>
              <w:szCs w:val="24"/>
              <w:lang w:val="en-GB"/>
            </w:rPr>
            <w:t xml:space="preserve">financial materiality of audit subjects, results from previous audits, information gathered on the operations of audit subjects, and other criteria set out in the internal acts of the State Audit Office. </w:t>
          </w:r>
        </w:p>
        <w:p w14:paraId="3A3CBA05" w14:textId="77777777" w:rsidR="009919AC" w:rsidRPr="000D4A19" w:rsidRDefault="009919AC" w:rsidP="004B7CAB">
          <w:pPr>
            <w:pStyle w:val="Odlomakpopisa"/>
            <w:spacing w:after="0" w:line="240" w:lineRule="auto"/>
            <w:rPr>
              <w:rFonts w:cstheme="minorHAnsi"/>
              <w:sz w:val="24"/>
              <w:szCs w:val="24"/>
              <w:lang w:val="en-GB"/>
            </w:rPr>
          </w:pPr>
        </w:p>
        <w:p w14:paraId="442CACA0" w14:textId="1F5C3EC3" w:rsidR="00400741"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Furthermore, procurement by the state is controlled by the </w:t>
          </w:r>
          <w:r w:rsidRPr="000D4A19">
            <w:rPr>
              <w:rFonts w:cstheme="minorHAnsi"/>
              <w:sz w:val="24"/>
              <w:szCs w:val="24"/>
              <w:u w:val="single"/>
              <w:lang w:val="en-GB"/>
            </w:rPr>
            <w:t>State Commission for the Control of Public Procurement Procedures</w:t>
          </w:r>
          <w:r w:rsidRPr="000D4A19">
            <w:rPr>
              <w:rFonts w:cstheme="minorHAnsi"/>
              <w:sz w:val="24"/>
              <w:szCs w:val="24"/>
              <w:lang w:val="en-GB"/>
            </w:rPr>
            <w:t>, which decides on the legality of proceedings, acts, omissions and decisions adopted in the procurement procedures. It can also submit indictments for misdemeanours, in accordance with the law on the State Commission for the Control of Public Procurement Procedures.</w:t>
          </w:r>
          <w:r w:rsidR="00077622" w:rsidRPr="000D4A19">
            <w:rPr>
              <w:rFonts w:cstheme="minorHAnsi"/>
              <w:sz w:val="24"/>
              <w:szCs w:val="24"/>
              <w:lang w:val="en-GB"/>
            </w:rPr>
            <w:t xml:space="preserve"> The State Commission for the Control of Public Procurement receives around 1</w:t>
          </w:r>
          <w:r w:rsidR="0092391F" w:rsidRPr="000D4A19">
            <w:rPr>
              <w:rFonts w:cstheme="minorHAnsi"/>
              <w:sz w:val="24"/>
              <w:szCs w:val="24"/>
              <w:lang w:val="en-GB"/>
            </w:rPr>
            <w:t xml:space="preserve"> </w:t>
          </w:r>
          <w:r w:rsidR="00077622" w:rsidRPr="000D4A19">
            <w:rPr>
              <w:rFonts w:cstheme="minorHAnsi"/>
              <w:sz w:val="24"/>
              <w:szCs w:val="24"/>
              <w:lang w:val="en-GB"/>
            </w:rPr>
            <w:t>300 complaints a year of which a staggering 52% reportedly leads to an annulment of the contract. The decisions of the State Commission (which are all public) are in turn used by the State Audit Office when assessing risks and thus directing its audits.</w:t>
          </w:r>
        </w:p>
        <w:p w14:paraId="22B5F456" w14:textId="09CFC2B6" w:rsidR="00400741" w:rsidRPr="000D4A19" w:rsidRDefault="00400741" w:rsidP="00400741">
          <w:pPr>
            <w:tabs>
              <w:tab w:val="left" w:pos="709"/>
              <w:tab w:val="num" w:pos="8222"/>
            </w:tabs>
            <w:spacing w:after="0" w:line="240" w:lineRule="auto"/>
            <w:jc w:val="both"/>
            <w:rPr>
              <w:rFonts w:cstheme="minorHAnsi"/>
              <w:sz w:val="24"/>
              <w:szCs w:val="24"/>
              <w:lang w:val="en-GB"/>
            </w:rPr>
          </w:pPr>
        </w:p>
        <w:p w14:paraId="36B8D542" w14:textId="04E0E0A9" w:rsidR="00400741" w:rsidRDefault="00EA2537" w:rsidP="003C4D1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 </w:t>
          </w:r>
          <w:r w:rsidR="003C4D1B" w:rsidRPr="000D4A19">
            <w:rPr>
              <w:rFonts w:cstheme="minorHAnsi"/>
              <w:sz w:val="24"/>
              <w:szCs w:val="24"/>
              <w:lang w:val="en-GB"/>
            </w:rPr>
            <w:t xml:space="preserve">The GET came away with a positive impression </w:t>
          </w:r>
          <w:r w:rsidR="00077622" w:rsidRPr="000D4A19">
            <w:rPr>
              <w:rFonts w:cstheme="minorHAnsi"/>
              <w:sz w:val="24"/>
              <w:szCs w:val="24"/>
              <w:lang w:val="en-GB"/>
            </w:rPr>
            <w:t xml:space="preserve">of the </w:t>
          </w:r>
          <w:r w:rsidR="003C4D1B" w:rsidRPr="000D4A19">
            <w:rPr>
              <w:rFonts w:cstheme="minorHAnsi"/>
              <w:sz w:val="24"/>
              <w:szCs w:val="24"/>
              <w:lang w:val="en-GB"/>
            </w:rPr>
            <w:t xml:space="preserve">financial and budget supervision carried out by the Ministry of Finance (including the fact that it can act upon information by </w:t>
          </w:r>
          <w:r w:rsidR="0000257E" w:rsidRPr="000D4A19">
            <w:rPr>
              <w:rFonts w:cstheme="minorHAnsi"/>
              <w:sz w:val="24"/>
              <w:szCs w:val="24"/>
              <w:lang w:val="en-GB"/>
            </w:rPr>
            <w:t xml:space="preserve">any </w:t>
          </w:r>
          <w:r w:rsidR="003C4D1B" w:rsidRPr="000D4A19">
            <w:rPr>
              <w:rFonts w:cstheme="minorHAnsi"/>
              <w:sz w:val="24"/>
              <w:szCs w:val="24"/>
              <w:lang w:val="en-GB"/>
            </w:rPr>
            <w:t xml:space="preserve">natural </w:t>
          </w:r>
          <w:r w:rsidR="0000257E" w:rsidRPr="000D4A19">
            <w:rPr>
              <w:rFonts w:cstheme="minorHAnsi"/>
              <w:sz w:val="24"/>
              <w:szCs w:val="24"/>
              <w:lang w:val="en-GB"/>
            </w:rPr>
            <w:t>or</w:t>
          </w:r>
          <w:r w:rsidR="003C4D1B" w:rsidRPr="000D4A19">
            <w:rPr>
              <w:rFonts w:cstheme="minorHAnsi"/>
              <w:sz w:val="24"/>
              <w:szCs w:val="24"/>
              <w:lang w:val="en-GB"/>
            </w:rPr>
            <w:t xml:space="preserve"> legal person). It had similarly positive impressions of the work done by </w:t>
          </w:r>
          <w:r w:rsidR="00400741" w:rsidRPr="000D4A19">
            <w:rPr>
              <w:rFonts w:cstheme="minorHAnsi"/>
              <w:sz w:val="24"/>
              <w:szCs w:val="24"/>
              <w:lang w:val="en-GB"/>
            </w:rPr>
            <w:t>the State Audit Office</w:t>
          </w:r>
          <w:r w:rsidR="00181BCA" w:rsidRPr="000D4A19">
            <w:rPr>
              <w:rFonts w:cstheme="minorHAnsi"/>
              <w:sz w:val="24"/>
              <w:szCs w:val="24"/>
              <w:lang w:val="en-GB"/>
            </w:rPr>
            <w:t xml:space="preserve"> and the State Commission for the Control of Public Procurement</w:t>
          </w:r>
          <w:r w:rsidR="003C4D1B" w:rsidRPr="000D4A19">
            <w:rPr>
              <w:rFonts w:cstheme="minorHAnsi"/>
              <w:sz w:val="24"/>
              <w:szCs w:val="24"/>
              <w:lang w:val="en-GB"/>
            </w:rPr>
            <w:t xml:space="preserve"> (</w:t>
          </w:r>
          <w:r w:rsidR="00E347EF">
            <w:rPr>
              <w:rFonts w:cstheme="minorHAnsi"/>
              <w:sz w:val="24"/>
              <w:szCs w:val="24"/>
              <w:lang w:val="en-GB"/>
            </w:rPr>
            <w:t xml:space="preserve">and other positive features of the system in place, such as </w:t>
          </w:r>
          <w:r w:rsidR="00181BCA" w:rsidRPr="000D4A19">
            <w:rPr>
              <w:rFonts w:cstheme="minorHAnsi"/>
              <w:sz w:val="24"/>
              <w:szCs w:val="24"/>
              <w:lang w:val="en-GB"/>
            </w:rPr>
            <w:t xml:space="preserve">a contract register and the possibility of submitting </w:t>
          </w:r>
          <w:r w:rsidR="00400741" w:rsidRPr="000D4A19">
            <w:rPr>
              <w:rFonts w:cstheme="minorHAnsi"/>
              <w:sz w:val="24"/>
              <w:szCs w:val="24"/>
              <w:lang w:val="en-GB"/>
            </w:rPr>
            <w:t>ele</w:t>
          </w:r>
          <w:r w:rsidR="00181BCA" w:rsidRPr="000D4A19">
            <w:rPr>
              <w:rFonts w:cstheme="minorHAnsi"/>
              <w:sz w:val="24"/>
              <w:szCs w:val="24"/>
              <w:lang w:val="en-GB"/>
            </w:rPr>
            <w:t xml:space="preserve">ctronic complaints </w:t>
          </w:r>
          <w:r w:rsidR="00400741" w:rsidRPr="000D4A19">
            <w:rPr>
              <w:rFonts w:cstheme="minorHAnsi"/>
              <w:sz w:val="24"/>
              <w:szCs w:val="24"/>
              <w:lang w:val="en-GB"/>
            </w:rPr>
            <w:t>to the State Commission</w:t>
          </w:r>
          <w:r w:rsidR="00E347EF">
            <w:rPr>
              <w:rFonts w:cstheme="minorHAnsi"/>
              <w:sz w:val="24"/>
              <w:szCs w:val="24"/>
              <w:lang w:val="en-GB"/>
            </w:rPr>
            <w:t xml:space="preserve">, as well as </w:t>
          </w:r>
          <w:r w:rsidR="003C4D1B" w:rsidRPr="000D4A19">
            <w:rPr>
              <w:rFonts w:cstheme="minorHAnsi"/>
              <w:sz w:val="24"/>
              <w:szCs w:val="24"/>
              <w:lang w:val="en-GB"/>
            </w:rPr>
            <w:t>the advanced level of e-procurement in Croatia</w:t>
          </w:r>
          <w:r w:rsidR="00E347EF">
            <w:rPr>
              <w:rFonts w:cstheme="minorHAnsi"/>
              <w:sz w:val="24"/>
              <w:szCs w:val="24"/>
              <w:lang w:val="en-GB"/>
            </w:rPr>
            <w:t>)</w:t>
          </w:r>
          <w:r w:rsidR="00400741" w:rsidRPr="000D4A19">
            <w:rPr>
              <w:rFonts w:cstheme="minorHAnsi"/>
              <w:sz w:val="24"/>
              <w:szCs w:val="24"/>
              <w:lang w:val="en-GB"/>
            </w:rPr>
            <w:t>.</w:t>
          </w:r>
        </w:p>
        <w:p w14:paraId="499B21D1" w14:textId="5F6D2E4F" w:rsidR="00981C83" w:rsidRDefault="00981C83" w:rsidP="00981C83">
          <w:pPr>
            <w:tabs>
              <w:tab w:val="left" w:pos="709"/>
              <w:tab w:val="num" w:pos="8222"/>
            </w:tabs>
            <w:spacing w:after="0" w:line="240" w:lineRule="auto"/>
            <w:jc w:val="both"/>
            <w:rPr>
              <w:rFonts w:cstheme="minorHAnsi"/>
              <w:sz w:val="24"/>
              <w:szCs w:val="24"/>
              <w:lang w:val="en-GB"/>
            </w:rPr>
          </w:pPr>
          <w:bookmarkStart w:id="63" w:name="_Hlk26347836"/>
        </w:p>
        <w:p w14:paraId="4512C2CE" w14:textId="42BA7D95" w:rsidR="00981C83" w:rsidRDefault="0050385D" w:rsidP="00981C83">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Pr>
              <w:rFonts w:cstheme="minorHAnsi"/>
              <w:sz w:val="24"/>
              <w:szCs w:val="24"/>
              <w:lang w:val="en-GB"/>
            </w:rPr>
            <w:t xml:space="preserve">Finally, the </w:t>
          </w:r>
          <w:r w:rsidRPr="0050385D">
            <w:rPr>
              <w:rFonts w:cstheme="minorHAnsi"/>
              <w:sz w:val="24"/>
              <w:szCs w:val="24"/>
              <w:lang w:val="en-GB"/>
            </w:rPr>
            <w:t>Ombuds</w:t>
          </w:r>
          <w:r>
            <w:rPr>
              <w:rFonts w:cstheme="minorHAnsi"/>
              <w:sz w:val="24"/>
              <w:szCs w:val="24"/>
              <w:lang w:val="en-GB"/>
            </w:rPr>
            <w:t>woma</w:t>
          </w:r>
          <w:r w:rsidRPr="0050385D">
            <w:rPr>
              <w:rFonts w:cstheme="minorHAnsi"/>
              <w:sz w:val="24"/>
              <w:szCs w:val="24"/>
              <w:lang w:val="en-GB"/>
            </w:rPr>
            <w:t>n</w:t>
          </w:r>
          <w:r w:rsidR="00CC0C3A">
            <w:rPr>
              <w:rFonts w:cstheme="minorHAnsi"/>
              <w:sz w:val="24"/>
              <w:szCs w:val="24"/>
              <w:lang w:val="en-GB"/>
            </w:rPr>
            <w:t xml:space="preserve"> promotes and protects human rights and freedoms and the rule of law, either</w:t>
          </w:r>
          <w:r>
            <w:rPr>
              <w:rFonts w:cstheme="minorHAnsi"/>
              <w:sz w:val="24"/>
              <w:szCs w:val="24"/>
              <w:lang w:val="en-GB"/>
            </w:rPr>
            <w:t xml:space="preserve"> </w:t>
          </w:r>
          <w:r w:rsidR="005A1CAF">
            <w:rPr>
              <w:rFonts w:cstheme="minorHAnsi"/>
              <w:i/>
              <w:sz w:val="24"/>
              <w:szCs w:val="24"/>
              <w:lang w:val="en-GB"/>
            </w:rPr>
            <w:t xml:space="preserve">ex officio </w:t>
          </w:r>
          <w:r w:rsidR="005A1CAF">
            <w:rPr>
              <w:rFonts w:cstheme="minorHAnsi"/>
              <w:sz w:val="24"/>
              <w:szCs w:val="24"/>
              <w:lang w:val="en-GB"/>
            </w:rPr>
            <w:t xml:space="preserve">or </w:t>
          </w:r>
          <w:r>
            <w:rPr>
              <w:rFonts w:cstheme="minorHAnsi"/>
              <w:sz w:val="24"/>
              <w:szCs w:val="24"/>
              <w:lang w:val="en-GB"/>
            </w:rPr>
            <w:t xml:space="preserve">on the basis of complaints by citizens </w:t>
          </w:r>
          <w:r w:rsidR="00440F7B">
            <w:rPr>
              <w:rFonts w:cstheme="minorHAnsi"/>
              <w:sz w:val="24"/>
              <w:szCs w:val="24"/>
              <w:lang w:val="en-GB"/>
            </w:rPr>
            <w:t xml:space="preserve">on </w:t>
          </w:r>
          <w:r>
            <w:rPr>
              <w:rFonts w:cstheme="minorHAnsi"/>
              <w:sz w:val="24"/>
              <w:szCs w:val="24"/>
              <w:lang w:val="en-GB"/>
            </w:rPr>
            <w:t>unlawful practices and irregularities in the work of public authorities</w:t>
          </w:r>
          <w:r>
            <w:rPr>
              <w:rFonts w:cstheme="minorHAnsi"/>
              <w:i/>
              <w:sz w:val="24"/>
              <w:szCs w:val="24"/>
              <w:lang w:val="en-GB"/>
            </w:rPr>
            <w:t>.</w:t>
          </w:r>
          <w:r>
            <w:rPr>
              <w:rFonts w:cstheme="minorHAnsi"/>
              <w:sz w:val="24"/>
              <w:szCs w:val="24"/>
              <w:lang w:val="en-GB"/>
            </w:rPr>
            <w:t xml:space="preserve"> </w:t>
          </w:r>
          <w:r w:rsidR="005A1CAF">
            <w:rPr>
              <w:rFonts w:cstheme="minorHAnsi"/>
              <w:sz w:val="24"/>
              <w:szCs w:val="24"/>
              <w:lang w:val="en-GB"/>
            </w:rPr>
            <w:t xml:space="preserve">With the entry into force of the </w:t>
          </w:r>
          <w:r w:rsidR="005A1CAF">
            <w:rPr>
              <w:rFonts w:ascii="Calibri" w:eastAsiaTheme="majorEastAsia" w:hAnsi="Calibri" w:cstheme="majorBidi"/>
              <w:bCs/>
              <w:sz w:val="24"/>
              <w:szCs w:val="24"/>
              <w:u w:val="single"/>
              <w:lang w:val="en-GB"/>
            </w:rPr>
            <w:t xml:space="preserve">new </w:t>
          </w:r>
          <w:r w:rsidR="005A1CAF" w:rsidRPr="000D4A19">
            <w:rPr>
              <w:rFonts w:ascii="Calibri" w:eastAsiaTheme="majorEastAsia" w:hAnsi="Calibri" w:cstheme="majorBidi"/>
              <w:bCs/>
              <w:sz w:val="24"/>
              <w:szCs w:val="24"/>
              <w:u w:val="single"/>
              <w:lang w:val="en-GB"/>
            </w:rPr>
            <w:t>Act on the Protection of Reporters of Irregularities (Whistleblowers Act</w:t>
          </w:r>
          <w:r w:rsidR="005A1CAF" w:rsidRPr="000D4A19">
            <w:rPr>
              <w:rFonts w:ascii="Calibri" w:eastAsiaTheme="majorEastAsia" w:hAnsi="Calibri" w:cstheme="majorBidi"/>
              <w:bCs/>
              <w:sz w:val="24"/>
              <w:szCs w:val="24"/>
              <w:lang w:val="en-GB"/>
            </w:rPr>
            <w:t>)</w:t>
          </w:r>
          <w:r w:rsidR="005A1CAF">
            <w:rPr>
              <w:rFonts w:ascii="Calibri" w:eastAsiaTheme="majorEastAsia" w:hAnsi="Calibri" w:cstheme="majorBidi"/>
              <w:bCs/>
              <w:sz w:val="24"/>
              <w:szCs w:val="24"/>
              <w:lang w:val="en-GB"/>
            </w:rPr>
            <w:t xml:space="preserve"> on 1 July 2019, the Ombudswoman has been designated as the external reporting channel for whistleblowers (see further </w:t>
          </w:r>
          <w:r w:rsidR="005A1CAF" w:rsidRPr="007A42EA">
            <w:rPr>
              <w:rFonts w:ascii="Calibri" w:eastAsiaTheme="majorEastAsia" w:hAnsi="Calibri" w:cstheme="majorBidi"/>
              <w:bCs/>
              <w:sz w:val="24"/>
              <w:szCs w:val="24"/>
              <w:lang w:val="en-GB"/>
            </w:rPr>
            <w:t xml:space="preserve">paragraphs </w:t>
          </w:r>
          <w:r w:rsidR="00AF6FC2" w:rsidRPr="007A42EA">
            <w:rPr>
              <w:rFonts w:ascii="Calibri" w:eastAsiaTheme="majorEastAsia" w:hAnsi="Calibri" w:cstheme="majorBidi"/>
              <w:bCs/>
              <w:sz w:val="24"/>
              <w:szCs w:val="24"/>
              <w:lang w:val="en-GB"/>
            </w:rPr>
            <w:t>162-163</w:t>
          </w:r>
          <w:r w:rsidR="005A1CAF" w:rsidRPr="007A42EA">
            <w:rPr>
              <w:rFonts w:ascii="Calibri" w:eastAsiaTheme="majorEastAsia" w:hAnsi="Calibri" w:cstheme="majorBidi"/>
              <w:bCs/>
              <w:sz w:val="24"/>
              <w:szCs w:val="24"/>
              <w:lang w:val="en-GB"/>
            </w:rPr>
            <w:t xml:space="preserve"> </w:t>
          </w:r>
          <w:r w:rsidR="00D22E2C" w:rsidRPr="007A42EA">
            <w:rPr>
              <w:rFonts w:ascii="Calibri" w:eastAsiaTheme="majorEastAsia" w:hAnsi="Calibri" w:cstheme="majorBidi"/>
              <w:bCs/>
              <w:sz w:val="24"/>
              <w:szCs w:val="24"/>
              <w:lang w:val="en-GB"/>
            </w:rPr>
            <w:t>in t</w:t>
          </w:r>
          <w:r w:rsidR="00D22E2C">
            <w:rPr>
              <w:rFonts w:ascii="Calibri" w:eastAsiaTheme="majorEastAsia" w:hAnsi="Calibri" w:cstheme="majorBidi"/>
              <w:bCs/>
              <w:sz w:val="24"/>
              <w:szCs w:val="24"/>
              <w:lang w:val="en-GB"/>
            </w:rPr>
            <w:t>he second part of this report)</w:t>
          </w:r>
          <w:r w:rsidR="005A1CAF" w:rsidRPr="000D4A19">
            <w:rPr>
              <w:rFonts w:ascii="Calibri" w:eastAsiaTheme="majorEastAsia" w:hAnsi="Calibri" w:cstheme="majorBidi"/>
              <w:bCs/>
              <w:sz w:val="24"/>
              <w:szCs w:val="24"/>
              <w:lang w:val="en-GB"/>
            </w:rPr>
            <w:t xml:space="preserve">. </w:t>
          </w:r>
          <w:bookmarkStart w:id="64" w:name="_Toc342554251"/>
          <w:bookmarkStart w:id="65" w:name="_Toc342640926"/>
          <w:bookmarkEnd w:id="63"/>
        </w:p>
        <w:p w14:paraId="67E5E354" w14:textId="77777777" w:rsidR="00981C83" w:rsidRPr="000D4A19" w:rsidRDefault="00981C83" w:rsidP="00981C83">
          <w:pPr>
            <w:tabs>
              <w:tab w:val="left" w:pos="709"/>
              <w:tab w:val="num" w:pos="8222"/>
            </w:tabs>
            <w:spacing w:after="0" w:line="240" w:lineRule="auto"/>
            <w:jc w:val="both"/>
            <w:rPr>
              <w:rFonts w:cstheme="minorHAnsi"/>
              <w:sz w:val="24"/>
              <w:szCs w:val="24"/>
              <w:lang w:val="en-GB"/>
            </w:rPr>
          </w:pPr>
        </w:p>
        <w:p w14:paraId="794EFCA2" w14:textId="77777777" w:rsidR="00981C83" w:rsidRPr="000D4A19" w:rsidRDefault="00981C83" w:rsidP="00981C83">
          <w:pPr>
            <w:pStyle w:val="Naslov2"/>
            <w:keepNext w:val="0"/>
            <w:keepLines w:val="0"/>
            <w:tabs>
              <w:tab w:val="left" w:pos="709"/>
            </w:tabs>
            <w:spacing w:before="0" w:line="240" w:lineRule="auto"/>
            <w:jc w:val="both"/>
            <w:rPr>
              <w:rFonts w:asciiTheme="minorHAnsi" w:hAnsiTheme="minorHAnsi" w:cstheme="minorHAnsi"/>
              <w:color w:val="auto"/>
              <w:sz w:val="24"/>
              <w:szCs w:val="24"/>
              <w:u w:val="single"/>
              <w:lang w:val="en-GB"/>
            </w:rPr>
          </w:pPr>
          <w:bookmarkStart w:id="66" w:name="_Toc342554253"/>
          <w:bookmarkStart w:id="67" w:name="_Toc342640928"/>
          <w:bookmarkStart w:id="68" w:name="_Toc4762859"/>
          <w:bookmarkStart w:id="69" w:name="_Toc25229302"/>
          <w:r w:rsidRPr="000D4A19">
            <w:rPr>
              <w:rFonts w:asciiTheme="minorHAnsi" w:hAnsiTheme="minorHAnsi" w:cstheme="minorHAnsi"/>
              <w:color w:val="auto"/>
              <w:sz w:val="24"/>
              <w:szCs w:val="24"/>
              <w:u w:val="single"/>
              <w:lang w:val="en-GB"/>
            </w:rPr>
            <w:t>Conflicts of interest</w:t>
          </w:r>
          <w:bookmarkEnd w:id="66"/>
          <w:bookmarkEnd w:id="67"/>
          <w:bookmarkEnd w:id="68"/>
          <w:bookmarkEnd w:id="69"/>
        </w:p>
        <w:p w14:paraId="663EBB00" w14:textId="77777777" w:rsidR="00981C83" w:rsidRPr="000D4A19" w:rsidRDefault="00981C83" w:rsidP="00981C83">
          <w:pPr>
            <w:spacing w:after="0" w:line="240" w:lineRule="auto"/>
            <w:rPr>
              <w:lang w:val="en-GB"/>
            </w:rPr>
          </w:pPr>
        </w:p>
        <w:p w14:paraId="743BAD51" w14:textId="6E0DC925" w:rsidR="00C74A20" w:rsidRPr="00981C83" w:rsidRDefault="009919AC" w:rsidP="00981C83">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981C83">
            <w:rPr>
              <w:rFonts w:cstheme="minorHAnsi"/>
              <w:sz w:val="24"/>
              <w:szCs w:val="24"/>
              <w:lang w:val="en-GB"/>
            </w:rPr>
            <w:t xml:space="preserve">The </w:t>
          </w:r>
          <w:r w:rsidR="004A2E85" w:rsidRPr="00981C83">
            <w:rPr>
              <w:rFonts w:cstheme="minorHAnsi"/>
              <w:sz w:val="24"/>
              <w:szCs w:val="24"/>
              <w:lang w:val="en-GB"/>
            </w:rPr>
            <w:t>L</w:t>
          </w:r>
          <w:r w:rsidRPr="00981C83">
            <w:rPr>
              <w:rFonts w:cstheme="minorHAnsi"/>
              <w:sz w:val="24"/>
              <w:szCs w:val="24"/>
              <w:lang w:val="en-GB"/>
            </w:rPr>
            <w:t>CI</w:t>
          </w:r>
          <w:r w:rsidR="00C16659" w:rsidRPr="00981C83">
            <w:rPr>
              <w:rFonts w:cstheme="minorHAnsi"/>
              <w:sz w:val="24"/>
              <w:szCs w:val="24"/>
              <w:lang w:val="en-GB"/>
            </w:rPr>
            <w:t xml:space="preserve"> (</w:t>
          </w:r>
          <w:r w:rsidR="001268BF" w:rsidRPr="00981C83">
            <w:rPr>
              <w:rFonts w:cstheme="minorHAnsi"/>
              <w:sz w:val="24"/>
              <w:szCs w:val="24"/>
              <w:lang w:val="en-GB"/>
            </w:rPr>
            <w:t xml:space="preserve">i.e. the </w:t>
          </w:r>
          <w:r w:rsidR="00C16659" w:rsidRPr="00981C83">
            <w:rPr>
              <w:rFonts w:cstheme="minorHAnsi"/>
              <w:sz w:val="24"/>
              <w:szCs w:val="24"/>
              <w:lang w:val="en-GB"/>
            </w:rPr>
            <w:t>Law on the Prevention of Conflicts of Interest</w:t>
          </w:r>
          <w:r w:rsidR="004A2E85" w:rsidRPr="00981C83">
            <w:rPr>
              <w:rFonts w:cstheme="minorHAnsi"/>
              <w:sz w:val="24"/>
              <w:szCs w:val="24"/>
              <w:lang w:val="en-GB"/>
            </w:rPr>
            <w:t>)</w:t>
          </w:r>
          <w:r w:rsidRPr="00981C83">
            <w:rPr>
              <w:rFonts w:cstheme="minorHAnsi"/>
              <w:sz w:val="24"/>
              <w:szCs w:val="24"/>
              <w:lang w:val="en-GB"/>
            </w:rPr>
            <w:t xml:space="preserve"> is the main piece of legislation regulating the prevention of conflicts of interest of PTEFs</w:t>
          </w:r>
          <w:r w:rsidR="002E116D" w:rsidRPr="00981C83">
            <w:rPr>
              <w:rFonts w:cstheme="minorHAnsi"/>
              <w:sz w:val="24"/>
              <w:szCs w:val="24"/>
              <w:lang w:val="en-GB"/>
            </w:rPr>
            <w:t>.</w:t>
          </w:r>
          <w:r w:rsidR="00A70C85" w:rsidRPr="00981C83">
            <w:rPr>
              <w:rFonts w:cstheme="minorHAnsi"/>
              <w:sz w:val="24"/>
              <w:szCs w:val="24"/>
              <w:lang w:val="en-GB"/>
            </w:rPr>
            <w:t xml:space="preserve"> </w:t>
          </w:r>
          <w:r w:rsidR="0094587C" w:rsidRPr="00981C83">
            <w:rPr>
              <w:rFonts w:cstheme="minorHAnsi"/>
              <w:sz w:val="24"/>
              <w:szCs w:val="24"/>
              <w:lang w:val="en-GB"/>
            </w:rPr>
            <w:t>It was adopted in 20</w:t>
          </w:r>
          <w:r w:rsidR="00B42751" w:rsidRPr="00981C83">
            <w:rPr>
              <w:rFonts w:cstheme="minorHAnsi"/>
              <w:sz w:val="24"/>
              <w:szCs w:val="24"/>
              <w:lang w:val="en-GB"/>
            </w:rPr>
            <w:t>11</w:t>
          </w:r>
          <w:r w:rsidR="0094587C" w:rsidRPr="00981C83">
            <w:rPr>
              <w:rFonts w:cstheme="minorHAnsi"/>
              <w:sz w:val="24"/>
              <w:szCs w:val="24"/>
              <w:lang w:val="en-GB"/>
            </w:rPr>
            <w:t xml:space="preserve"> and has been amended </w:t>
          </w:r>
          <w:r w:rsidR="00B42751" w:rsidRPr="00981C83">
            <w:rPr>
              <w:rFonts w:cstheme="minorHAnsi"/>
              <w:sz w:val="24"/>
              <w:szCs w:val="24"/>
              <w:lang w:val="en-GB"/>
            </w:rPr>
            <w:t xml:space="preserve">several </w:t>
          </w:r>
          <w:r w:rsidR="0094587C" w:rsidRPr="00981C83">
            <w:rPr>
              <w:rFonts w:cstheme="minorHAnsi"/>
              <w:sz w:val="24"/>
              <w:szCs w:val="24"/>
              <w:lang w:val="en-GB"/>
            </w:rPr>
            <w:t>times since then</w:t>
          </w:r>
          <w:r w:rsidR="009F719C" w:rsidRPr="00981C83">
            <w:rPr>
              <w:rFonts w:cstheme="minorHAnsi"/>
              <w:sz w:val="24"/>
              <w:szCs w:val="24"/>
              <w:lang w:val="en-GB"/>
            </w:rPr>
            <w:t>,</w:t>
          </w:r>
          <w:r w:rsidR="007A42EA">
            <w:rPr>
              <w:rFonts w:cstheme="minorHAnsi"/>
              <w:sz w:val="24"/>
              <w:szCs w:val="24"/>
              <w:lang w:val="en-GB"/>
            </w:rPr>
            <w:t xml:space="preserve"> </w:t>
          </w:r>
          <w:r w:rsidR="00E073B9" w:rsidRPr="00981C83">
            <w:rPr>
              <w:rFonts w:cstheme="minorHAnsi"/>
              <w:sz w:val="24"/>
              <w:szCs w:val="24"/>
              <w:lang w:val="en-GB"/>
            </w:rPr>
            <w:t xml:space="preserve">and has already been extensively commented on in </w:t>
          </w:r>
          <w:r w:rsidR="004A2E85" w:rsidRPr="00981C83">
            <w:rPr>
              <w:rFonts w:cstheme="minorHAnsi"/>
              <w:sz w:val="24"/>
              <w:szCs w:val="24"/>
              <w:lang w:val="en-GB"/>
            </w:rPr>
            <w:t>GRECO’s Fourth Evaluation Round Report on Croatia</w:t>
          </w:r>
          <w:r w:rsidR="00C16659" w:rsidRPr="00981C83">
            <w:rPr>
              <w:rFonts w:cstheme="minorHAnsi"/>
              <w:sz w:val="24"/>
              <w:szCs w:val="24"/>
              <w:lang w:val="en-GB"/>
            </w:rPr>
            <w:t>.</w:t>
          </w:r>
          <w:r w:rsidR="004A2E85" w:rsidRPr="000D4A19">
            <w:rPr>
              <w:rStyle w:val="Referencafusnote"/>
              <w:rFonts w:cstheme="minorHAnsi"/>
              <w:sz w:val="24"/>
              <w:szCs w:val="24"/>
              <w:lang w:val="en-GB"/>
            </w:rPr>
            <w:footnoteReference w:id="42"/>
          </w:r>
        </w:p>
        <w:p w14:paraId="433F84B8" w14:textId="77777777" w:rsidR="00C74A20" w:rsidRPr="000D4A19" w:rsidRDefault="00C74A20" w:rsidP="00645C71">
          <w:pPr>
            <w:tabs>
              <w:tab w:val="left" w:pos="709"/>
              <w:tab w:val="num" w:pos="8222"/>
            </w:tabs>
            <w:spacing w:after="0" w:line="240" w:lineRule="auto"/>
            <w:jc w:val="both"/>
            <w:rPr>
              <w:lang w:val="en-GB"/>
            </w:rPr>
          </w:pPr>
        </w:p>
        <w:p w14:paraId="76D36493" w14:textId="63BB2635" w:rsidR="00C74A20" w:rsidRPr="000D4A19" w:rsidRDefault="00C74A20" w:rsidP="00E3231C">
          <w:pPr>
            <w:numPr>
              <w:ilvl w:val="0"/>
              <w:numId w:val="1"/>
            </w:numPr>
            <w:tabs>
              <w:tab w:val="left" w:pos="709"/>
              <w:tab w:val="num" w:pos="1557"/>
              <w:tab w:val="num" w:pos="8222"/>
            </w:tabs>
            <w:spacing w:after="0" w:line="240" w:lineRule="auto"/>
            <w:ind w:left="0" w:firstLine="0"/>
            <w:jc w:val="both"/>
            <w:rPr>
              <w:lang w:val="en-GB"/>
            </w:rPr>
          </w:pPr>
          <w:r w:rsidRPr="000D4A19">
            <w:rPr>
              <w:rFonts w:cstheme="minorHAnsi"/>
              <w:sz w:val="24"/>
              <w:szCs w:val="24"/>
              <w:lang w:val="en-GB"/>
            </w:rPr>
            <w:t>The LCI provides that when exercising public office</w:t>
          </w:r>
          <w:r w:rsidR="0092391F" w:rsidRPr="000D4A19">
            <w:rPr>
              <w:rFonts w:cstheme="minorHAnsi"/>
              <w:sz w:val="24"/>
              <w:szCs w:val="24"/>
              <w:lang w:val="en-GB"/>
            </w:rPr>
            <w:t>,</w:t>
          </w:r>
          <w:r w:rsidRPr="000D4A19">
            <w:rPr>
              <w:rFonts w:cstheme="minorHAnsi"/>
              <w:sz w:val="24"/>
              <w:szCs w:val="24"/>
              <w:lang w:val="en-GB"/>
            </w:rPr>
            <w:t xml:space="preserve"> officials may not put their private interest above the public interest (Article 2). It provides that a conflict of interests arises when the private interests of an official are contrary to the public interest, in particular where the private interest of an official affects or may affect his/her impartiality in exercising public office or if there is a founded opinion that this is the case. Personal interests in turn cover their own interests, as well as interests of “connected persons”.</w:t>
          </w:r>
          <w:r w:rsidR="00E347EF">
            <w:rPr>
              <w:rStyle w:val="Referencafusnote"/>
              <w:rFonts w:cstheme="minorHAnsi"/>
              <w:sz w:val="24"/>
              <w:szCs w:val="24"/>
              <w:lang w:val="en-GB"/>
            </w:rPr>
            <w:footnoteReference w:id="43"/>
          </w:r>
        </w:p>
        <w:p w14:paraId="05CD4D2F" w14:textId="77777777" w:rsidR="00C74A20" w:rsidRPr="000D4A19" w:rsidRDefault="00C74A20" w:rsidP="00645C71">
          <w:pPr>
            <w:tabs>
              <w:tab w:val="left" w:pos="709"/>
              <w:tab w:val="num" w:pos="8222"/>
            </w:tabs>
            <w:spacing w:after="0" w:line="240" w:lineRule="auto"/>
            <w:jc w:val="both"/>
            <w:rPr>
              <w:lang w:val="en-GB"/>
            </w:rPr>
          </w:pPr>
        </w:p>
        <w:p w14:paraId="0ED736D7" w14:textId="34E67123" w:rsidR="00C74A20" w:rsidRPr="000D4A19" w:rsidRDefault="00C74A20" w:rsidP="00C74A20">
          <w:pPr>
            <w:numPr>
              <w:ilvl w:val="0"/>
              <w:numId w:val="1"/>
            </w:numPr>
            <w:tabs>
              <w:tab w:val="left" w:pos="709"/>
              <w:tab w:val="num" w:pos="1557"/>
              <w:tab w:val="num" w:pos="8222"/>
            </w:tabs>
            <w:spacing w:after="0" w:line="240" w:lineRule="auto"/>
            <w:ind w:left="0" w:firstLine="0"/>
            <w:jc w:val="both"/>
            <w:rPr>
              <w:lang w:val="en-GB"/>
            </w:rPr>
          </w:pPr>
          <w:r w:rsidRPr="000D4A19">
            <w:rPr>
              <w:sz w:val="24"/>
              <w:szCs w:val="24"/>
              <w:lang w:val="en-GB"/>
            </w:rPr>
            <w:t xml:space="preserve">The law contains a general prohibition on using public office for personal gain (of the official in question or a “connected person” to this official) (Article </w:t>
          </w:r>
          <w:r w:rsidR="00B42751">
            <w:rPr>
              <w:sz w:val="24"/>
              <w:szCs w:val="24"/>
              <w:lang w:val="en-GB"/>
            </w:rPr>
            <w:t>4</w:t>
          </w:r>
          <w:r w:rsidRPr="000D4A19">
            <w:rPr>
              <w:sz w:val="24"/>
              <w:szCs w:val="24"/>
              <w:lang w:val="en-GB"/>
            </w:rPr>
            <w:t xml:space="preserve">) and requires officials to arrange their private affairs in such a way that foreseeable conflicts of interest are prevented (Article 6, paragraph 4). If a conflict of interests nevertheless occurs, the official is obliged to solve it in a manner that protects the public interest, and – in case of doubt – s/he is to do everything necessary to separate private from public interests (Article 6, paragraph 4). </w:t>
          </w:r>
        </w:p>
        <w:p w14:paraId="715F9AAA" w14:textId="77777777" w:rsidR="00C74A20" w:rsidRPr="000D4A19" w:rsidRDefault="00C74A20" w:rsidP="00C74A20">
          <w:pPr>
            <w:tabs>
              <w:tab w:val="left" w:pos="709"/>
              <w:tab w:val="num" w:pos="8222"/>
            </w:tabs>
            <w:spacing w:after="0" w:line="240" w:lineRule="auto"/>
            <w:jc w:val="both"/>
            <w:rPr>
              <w:lang w:val="en-GB"/>
            </w:rPr>
          </w:pPr>
        </w:p>
        <w:p w14:paraId="07395D4C" w14:textId="078F2C14" w:rsidR="00C74A20" w:rsidRPr="007A42EA" w:rsidRDefault="00C74A20" w:rsidP="00C74A20">
          <w:pPr>
            <w:numPr>
              <w:ilvl w:val="0"/>
              <w:numId w:val="1"/>
            </w:numPr>
            <w:tabs>
              <w:tab w:val="left" w:pos="709"/>
              <w:tab w:val="num" w:pos="1557"/>
              <w:tab w:val="num" w:pos="8222"/>
            </w:tabs>
            <w:spacing w:after="0" w:line="240" w:lineRule="auto"/>
            <w:ind w:left="0" w:firstLine="0"/>
            <w:jc w:val="both"/>
            <w:rPr>
              <w:lang w:val="en-GB"/>
            </w:rPr>
          </w:pPr>
          <w:r w:rsidRPr="000D4A19">
            <w:rPr>
              <w:sz w:val="24"/>
              <w:szCs w:val="24"/>
              <w:lang w:val="en-GB"/>
            </w:rPr>
            <w:t xml:space="preserve">The Law in addition contains a list of prohibited actions, which includes such issues as receiving or soliciting </w:t>
          </w:r>
          <w:r w:rsidRPr="007A42EA">
            <w:rPr>
              <w:sz w:val="24"/>
              <w:szCs w:val="24"/>
              <w:lang w:val="en-GB"/>
            </w:rPr>
            <w:t>benefits for exercising public office, using privileged information for personal gain and using his/her position to influence decisions for personal gain.</w:t>
          </w:r>
          <w:r w:rsidRPr="007A42EA">
            <w:rPr>
              <w:rStyle w:val="Referencafusnote"/>
              <w:sz w:val="24"/>
              <w:szCs w:val="24"/>
              <w:lang w:val="en-GB"/>
            </w:rPr>
            <w:footnoteReference w:id="44"/>
          </w:r>
          <w:r w:rsidRPr="007A42EA">
            <w:rPr>
              <w:sz w:val="24"/>
              <w:szCs w:val="24"/>
              <w:lang w:val="en-GB"/>
            </w:rPr>
            <w:t xml:space="preserve"> </w:t>
          </w:r>
          <w:r w:rsidRPr="007A42EA">
            <w:rPr>
              <w:sz w:val="24"/>
              <w:szCs w:val="24"/>
              <w:lang w:val="en-GB" w:eastAsia="hr-HR"/>
            </w:rPr>
            <w:t xml:space="preserve">In addition, the law contains further provisions on gifts (Articles 11 and 19, see paragraph </w:t>
          </w:r>
          <w:r w:rsidR="00E347EF" w:rsidRPr="007A42EA">
            <w:rPr>
              <w:sz w:val="24"/>
              <w:szCs w:val="24"/>
              <w:lang w:val="en-GB" w:eastAsia="hr-HR"/>
            </w:rPr>
            <w:t>72</w:t>
          </w:r>
          <w:r w:rsidR="00524447" w:rsidRPr="007A42EA">
            <w:rPr>
              <w:sz w:val="24"/>
              <w:szCs w:val="24"/>
              <w:lang w:val="en-GB" w:eastAsia="hr-HR"/>
            </w:rPr>
            <w:t xml:space="preserve"> below</w:t>
          </w:r>
          <w:r w:rsidRPr="007A42EA">
            <w:rPr>
              <w:sz w:val="24"/>
              <w:szCs w:val="24"/>
              <w:lang w:val="en-GB" w:eastAsia="hr-HR"/>
            </w:rPr>
            <w:t xml:space="preserve">), incompatibilities (Articles 13-14 and 16, see paragraphs </w:t>
          </w:r>
          <w:r w:rsidR="00524447" w:rsidRPr="007A42EA">
            <w:rPr>
              <w:sz w:val="24"/>
              <w:szCs w:val="24"/>
              <w:lang w:val="en-GB" w:eastAsia="hr-HR"/>
            </w:rPr>
            <w:t>6</w:t>
          </w:r>
          <w:r w:rsidR="00AF6FC2" w:rsidRPr="007A42EA">
            <w:rPr>
              <w:sz w:val="24"/>
              <w:szCs w:val="24"/>
              <w:lang w:val="en-GB" w:eastAsia="hr-HR"/>
            </w:rPr>
            <w:t>7</w:t>
          </w:r>
          <w:r w:rsidR="00E347EF" w:rsidRPr="007A42EA">
            <w:rPr>
              <w:sz w:val="24"/>
              <w:szCs w:val="24"/>
              <w:lang w:val="en-GB" w:eastAsia="hr-HR"/>
            </w:rPr>
            <w:t>-69</w:t>
          </w:r>
          <w:r w:rsidR="00524447" w:rsidRPr="007A42EA">
            <w:rPr>
              <w:sz w:val="24"/>
              <w:szCs w:val="24"/>
              <w:lang w:val="en-GB" w:eastAsia="hr-HR"/>
            </w:rPr>
            <w:t xml:space="preserve"> below</w:t>
          </w:r>
          <w:r w:rsidRPr="007A42EA">
            <w:rPr>
              <w:sz w:val="24"/>
              <w:szCs w:val="24"/>
              <w:lang w:val="en-GB" w:eastAsia="hr-HR"/>
            </w:rPr>
            <w:t>) and post-employment restrictions (Article 20, see paragrap</w:t>
          </w:r>
          <w:r w:rsidR="00524447" w:rsidRPr="007A42EA">
            <w:rPr>
              <w:sz w:val="24"/>
              <w:szCs w:val="24"/>
              <w:lang w:val="en-GB" w:eastAsia="hr-HR"/>
            </w:rPr>
            <w:t>h</w:t>
          </w:r>
          <w:r w:rsidR="00E347EF" w:rsidRPr="007A42EA">
            <w:rPr>
              <w:sz w:val="24"/>
              <w:szCs w:val="24"/>
              <w:lang w:val="en-GB" w:eastAsia="hr-HR"/>
            </w:rPr>
            <w:t>s</w:t>
          </w:r>
          <w:r w:rsidRPr="007A42EA">
            <w:rPr>
              <w:sz w:val="24"/>
              <w:szCs w:val="24"/>
              <w:lang w:val="en-GB" w:eastAsia="hr-HR"/>
            </w:rPr>
            <w:t xml:space="preserve"> </w:t>
          </w:r>
          <w:r w:rsidR="00524447" w:rsidRPr="007A42EA">
            <w:rPr>
              <w:sz w:val="24"/>
              <w:szCs w:val="24"/>
              <w:lang w:val="en-GB" w:eastAsia="hr-HR"/>
            </w:rPr>
            <w:t>7</w:t>
          </w:r>
          <w:r w:rsidR="00E347EF" w:rsidRPr="007A42EA">
            <w:rPr>
              <w:sz w:val="24"/>
              <w:szCs w:val="24"/>
              <w:lang w:val="en-GB" w:eastAsia="hr-HR"/>
            </w:rPr>
            <w:t>5-78</w:t>
          </w:r>
          <w:r w:rsidRPr="007A42EA">
            <w:rPr>
              <w:sz w:val="24"/>
              <w:szCs w:val="24"/>
              <w:lang w:val="en-GB" w:eastAsia="hr-HR"/>
            </w:rPr>
            <w:t xml:space="preserve"> below) and requires officials to also declare their assets (and </w:t>
          </w:r>
          <w:r w:rsidR="00BF182A" w:rsidRPr="007A42EA">
            <w:rPr>
              <w:sz w:val="24"/>
              <w:szCs w:val="24"/>
              <w:lang w:val="en-GB" w:eastAsia="hr-HR"/>
            </w:rPr>
            <w:t xml:space="preserve">income and </w:t>
          </w:r>
          <w:r w:rsidRPr="007A42EA">
            <w:rPr>
              <w:sz w:val="24"/>
              <w:szCs w:val="24"/>
              <w:lang w:val="en-GB" w:eastAsia="hr-HR"/>
            </w:rPr>
            <w:t>certain financial interest</w:t>
          </w:r>
          <w:r w:rsidR="00BF182A" w:rsidRPr="007A42EA">
            <w:rPr>
              <w:sz w:val="24"/>
              <w:szCs w:val="24"/>
              <w:lang w:val="en-GB" w:eastAsia="hr-HR"/>
            </w:rPr>
            <w:t>s</w:t>
          </w:r>
          <w:r w:rsidRPr="007A42EA">
            <w:rPr>
              <w:sz w:val="24"/>
              <w:szCs w:val="24"/>
              <w:lang w:val="en-GB" w:eastAsia="hr-HR"/>
            </w:rPr>
            <w:t xml:space="preserve">) to the Commission for the Prevention of Conflicts of Interest (Article 8, see further paragraphs </w:t>
          </w:r>
          <w:r w:rsidR="00E347EF" w:rsidRPr="007A42EA">
            <w:rPr>
              <w:sz w:val="24"/>
              <w:szCs w:val="24"/>
              <w:lang w:val="en-GB" w:eastAsia="hr-HR"/>
            </w:rPr>
            <w:t>83-88</w:t>
          </w:r>
          <w:r w:rsidRPr="007A42EA">
            <w:rPr>
              <w:sz w:val="24"/>
              <w:szCs w:val="24"/>
              <w:lang w:val="en-GB" w:eastAsia="hr-HR"/>
            </w:rPr>
            <w:t xml:space="preserve"> below).</w:t>
          </w:r>
        </w:p>
        <w:p w14:paraId="113F11E2" w14:textId="77777777" w:rsidR="00C74A20" w:rsidRPr="000D4A19" w:rsidRDefault="00C74A20" w:rsidP="00645C71">
          <w:pPr>
            <w:tabs>
              <w:tab w:val="left" w:pos="709"/>
              <w:tab w:val="num" w:pos="8222"/>
            </w:tabs>
            <w:spacing w:after="0" w:line="240" w:lineRule="auto"/>
            <w:ind w:left="3403"/>
            <w:jc w:val="both"/>
            <w:rPr>
              <w:lang w:val="en-GB"/>
            </w:rPr>
          </w:pPr>
        </w:p>
        <w:p w14:paraId="6A300187" w14:textId="5E3FEF7A" w:rsidR="00C74A20" w:rsidRPr="000D4A19" w:rsidRDefault="00C74A20" w:rsidP="00884CF8">
          <w:pPr>
            <w:numPr>
              <w:ilvl w:val="0"/>
              <w:numId w:val="1"/>
            </w:numPr>
            <w:tabs>
              <w:tab w:val="left" w:pos="709"/>
              <w:tab w:val="num" w:pos="1557"/>
              <w:tab w:val="num" w:pos="8222"/>
            </w:tabs>
            <w:spacing w:after="0" w:line="240" w:lineRule="auto"/>
            <w:ind w:left="0" w:firstLine="0"/>
            <w:jc w:val="both"/>
            <w:rPr>
              <w:lang w:val="en-GB"/>
            </w:rPr>
          </w:pPr>
          <w:r w:rsidRPr="000D4A19">
            <w:rPr>
              <w:sz w:val="24"/>
              <w:szCs w:val="24"/>
              <w:lang w:val="en-GB"/>
            </w:rPr>
            <w:t xml:space="preserve">If an official is in doubt whether certain conduct complies with the principles of public office (and thus with the necessity to prevent and/or resolve conflicts between an official’s private interests and the public interest), the official </w:t>
          </w:r>
          <w:r w:rsidR="00145F0C">
            <w:rPr>
              <w:sz w:val="24"/>
              <w:szCs w:val="24"/>
              <w:lang w:val="en-GB"/>
            </w:rPr>
            <w:t xml:space="preserve">can </w:t>
          </w:r>
          <w:r w:rsidRPr="000D4A19">
            <w:rPr>
              <w:sz w:val="24"/>
              <w:szCs w:val="24"/>
              <w:lang w:val="en-GB"/>
            </w:rPr>
            <w:t xml:space="preserve">request the Commission for the Prevention of Conflicts of Interest for an opinion (which is to be provided within 15 days) (Article 6). </w:t>
          </w:r>
        </w:p>
        <w:p w14:paraId="7473C243" w14:textId="6E6F49C6" w:rsidR="00897696" w:rsidRPr="000D4A19" w:rsidRDefault="00897696" w:rsidP="00897696">
          <w:pPr>
            <w:tabs>
              <w:tab w:val="left" w:pos="709"/>
              <w:tab w:val="num" w:pos="8222"/>
            </w:tabs>
            <w:spacing w:after="0" w:line="240" w:lineRule="auto"/>
            <w:jc w:val="both"/>
            <w:rPr>
              <w:sz w:val="24"/>
              <w:szCs w:val="24"/>
              <w:highlight w:val="yellow"/>
              <w:lang w:val="en-GB"/>
            </w:rPr>
          </w:pPr>
          <w:bookmarkStart w:id="70" w:name="_Toc342554254"/>
          <w:bookmarkStart w:id="71" w:name="_Toc342640929"/>
        </w:p>
        <w:p w14:paraId="1537146D" w14:textId="665805A2" w:rsidR="00820E32" w:rsidRPr="000D4A19" w:rsidRDefault="00FE5C74" w:rsidP="00820E32">
          <w:pPr>
            <w:numPr>
              <w:ilvl w:val="0"/>
              <w:numId w:val="1"/>
            </w:numPr>
            <w:tabs>
              <w:tab w:val="left" w:pos="709"/>
              <w:tab w:val="num" w:pos="1557"/>
              <w:tab w:val="num" w:pos="8222"/>
            </w:tabs>
            <w:spacing w:after="0" w:line="240" w:lineRule="auto"/>
            <w:ind w:left="0" w:firstLine="0"/>
            <w:jc w:val="both"/>
            <w:rPr>
              <w:sz w:val="24"/>
              <w:szCs w:val="24"/>
              <w:lang w:val="en-GB"/>
            </w:rPr>
          </w:pPr>
          <w:r w:rsidRPr="000D4A19">
            <w:rPr>
              <w:sz w:val="24"/>
              <w:szCs w:val="24"/>
              <w:lang w:val="en-GB"/>
            </w:rPr>
            <w:t>W</w:t>
          </w:r>
          <w:r w:rsidR="00E414F5" w:rsidRPr="000D4A19">
            <w:rPr>
              <w:sz w:val="24"/>
              <w:szCs w:val="24"/>
              <w:lang w:val="en-GB"/>
            </w:rPr>
            <w:t>hile</w:t>
          </w:r>
          <w:r w:rsidR="004B56B4" w:rsidRPr="000D4A19">
            <w:rPr>
              <w:sz w:val="24"/>
              <w:szCs w:val="24"/>
              <w:lang w:val="en-GB"/>
            </w:rPr>
            <w:t xml:space="preserve"> the notion of conflict of interest is defined in the LCI, </w:t>
          </w:r>
          <w:r w:rsidRPr="000D4A19">
            <w:rPr>
              <w:sz w:val="24"/>
              <w:szCs w:val="24"/>
              <w:lang w:val="en-GB"/>
            </w:rPr>
            <w:t>i</w:t>
          </w:r>
          <w:r w:rsidR="004B56B4" w:rsidRPr="000D4A19">
            <w:rPr>
              <w:sz w:val="24"/>
              <w:szCs w:val="24"/>
              <w:lang w:val="en-GB"/>
            </w:rPr>
            <w:t xml:space="preserve">t </w:t>
          </w:r>
          <w:r w:rsidR="00B40C7A" w:rsidRPr="000D4A19">
            <w:rPr>
              <w:sz w:val="24"/>
              <w:szCs w:val="24"/>
              <w:lang w:val="en-GB"/>
            </w:rPr>
            <w:t>wa</w:t>
          </w:r>
          <w:r w:rsidR="004B56B4" w:rsidRPr="000D4A19">
            <w:rPr>
              <w:sz w:val="24"/>
              <w:szCs w:val="24"/>
              <w:lang w:val="en-GB"/>
            </w:rPr>
            <w:t xml:space="preserve">s not </w:t>
          </w:r>
          <w:r w:rsidRPr="000D4A19">
            <w:rPr>
              <w:sz w:val="24"/>
              <w:szCs w:val="24"/>
              <w:lang w:val="en-GB"/>
            </w:rPr>
            <w:t xml:space="preserve">immediately </w:t>
          </w:r>
          <w:r w:rsidR="004B56B4" w:rsidRPr="000D4A19">
            <w:rPr>
              <w:sz w:val="24"/>
              <w:szCs w:val="24"/>
              <w:lang w:val="en-GB"/>
            </w:rPr>
            <w:t xml:space="preserve">clear </w:t>
          </w:r>
          <w:r w:rsidR="00B40C7A" w:rsidRPr="000D4A19">
            <w:rPr>
              <w:sz w:val="24"/>
              <w:szCs w:val="24"/>
              <w:lang w:val="en-GB"/>
            </w:rPr>
            <w:t xml:space="preserve">to the GET </w:t>
          </w:r>
          <w:r w:rsidR="004B56B4" w:rsidRPr="000D4A19">
            <w:rPr>
              <w:sz w:val="24"/>
              <w:szCs w:val="24"/>
              <w:lang w:val="en-GB"/>
            </w:rPr>
            <w:t xml:space="preserve">how a person covered by the law is to resolve a possible conflict of interest, </w:t>
          </w:r>
          <w:r w:rsidR="00AE6F33" w:rsidRPr="000D4A19">
            <w:rPr>
              <w:sz w:val="24"/>
              <w:szCs w:val="24"/>
              <w:lang w:val="en-GB"/>
            </w:rPr>
            <w:t>if it does not fall within one of the categories already regulated by the LCI in another way (such as incompa</w:t>
          </w:r>
          <w:r w:rsidR="00405011" w:rsidRPr="000D4A19">
            <w:rPr>
              <w:sz w:val="24"/>
              <w:szCs w:val="24"/>
              <w:lang w:val="en-GB"/>
            </w:rPr>
            <w:t>ti</w:t>
          </w:r>
          <w:r w:rsidR="00AE6F33" w:rsidRPr="000D4A19">
            <w:rPr>
              <w:sz w:val="24"/>
              <w:szCs w:val="24"/>
              <w:lang w:val="en-GB"/>
            </w:rPr>
            <w:t>bilities</w:t>
          </w:r>
          <w:r w:rsidR="00032BCC" w:rsidRPr="000D4A19">
            <w:rPr>
              <w:sz w:val="24"/>
              <w:szCs w:val="24"/>
              <w:lang w:val="en-GB"/>
            </w:rPr>
            <w:t>,</w:t>
          </w:r>
          <w:r w:rsidR="00AE6F33" w:rsidRPr="000D4A19">
            <w:rPr>
              <w:sz w:val="24"/>
              <w:szCs w:val="24"/>
              <w:lang w:val="en-GB"/>
            </w:rPr>
            <w:t xml:space="preserve"> for example)</w:t>
          </w:r>
          <w:r w:rsidR="00933AF5" w:rsidRPr="000D4A19">
            <w:rPr>
              <w:sz w:val="24"/>
              <w:szCs w:val="24"/>
              <w:lang w:val="en-GB"/>
            </w:rPr>
            <w:t xml:space="preserve"> and what the consequences are if s/he does not do so</w:t>
          </w:r>
          <w:r w:rsidR="00032BCC" w:rsidRPr="000D4A19">
            <w:rPr>
              <w:sz w:val="24"/>
              <w:szCs w:val="24"/>
              <w:lang w:val="en-GB"/>
            </w:rPr>
            <w:t xml:space="preserve">. </w:t>
          </w:r>
          <w:r w:rsidR="00B40C7A" w:rsidRPr="000D4A19">
            <w:rPr>
              <w:sz w:val="24"/>
              <w:szCs w:val="24"/>
              <w:lang w:val="en-GB"/>
            </w:rPr>
            <w:t xml:space="preserve">In the view of the GET, there is a crucial need for practical guidance in this respect, with concrete examples of situations that can arise from working in and for the government. This would explicitly need to be addressed when implementing </w:t>
          </w:r>
          <w:r w:rsidR="00B40C7A" w:rsidRPr="007A42EA">
            <w:rPr>
              <w:sz w:val="24"/>
              <w:szCs w:val="24"/>
              <w:lang w:val="en-GB"/>
            </w:rPr>
            <w:t xml:space="preserve">recommendation ii </w:t>
          </w:r>
          <w:r w:rsidR="00ED28E7" w:rsidRPr="007A42EA">
            <w:rPr>
              <w:sz w:val="24"/>
              <w:szCs w:val="24"/>
              <w:lang w:val="en-GB"/>
            </w:rPr>
            <w:t xml:space="preserve">(paragraph 41 </w:t>
          </w:r>
          <w:r w:rsidR="00B40C7A" w:rsidRPr="007A42EA">
            <w:rPr>
              <w:sz w:val="24"/>
              <w:szCs w:val="24"/>
              <w:lang w:val="en-GB"/>
            </w:rPr>
            <w:t>above</w:t>
          </w:r>
          <w:r w:rsidR="005A1CAF">
            <w:rPr>
              <w:sz w:val="24"/>
              <w:szCs w:val="24"/>
              <w:lang w:val="en-GB"/>
            </w:rPr>
            <w:t>)</w:t>
          </w:r>
          <w:r w:rsidR="00B40C7A" w:rsidRPr="000D4A19">
            <w:rPr>
              <w:sz w:val="24"/>
              <w:szCs w:val="24"/>
              <w:lang w:val="en-GB"/>
            </w:rPr>
            <w:t xml:space="preserve">. </w:t>
          </w:r>
          <w:r w:rsidR="00933AF5" w:rsidRPr="000D4A19">
            <w:rPr>
              <w:sz w:val="24"/>
              <w:szCs w:val="24"/>
              <w:lang w:val="en-GB"/>
            </w:rPr>
            <w:t xml:space="preserve">In addition, the current provisions need to be complemented with an obligation for PTEFs </w:t>
          </w:r>
          <w:r w:rsidR="009A33A3" w:rsidRPr="000D4A19">
            <w:rPr>
              <w:rFonts w:eastAsia="Times New Roman" w:cs="RijksoverheidSerif-Regular"/>
              <w:sz w:val="24"/>
              <w:szCs w:val="24"/>
              <w:lang w:val="en-GB" w:eastAsia="en-GB"/>
            </w:rPr>
            <w:t xml:space="preserve">to report various situations of conflicts as they occur (on an </w:t>
          </w:r>
          <w:r w:rsidR="009A33A3" w:rsidRPr="000D4A19">
            <w:rPr>
              <w:rFonts w:eastAsia="Times New Roman" w:cs="RijksoverheidSerif-Regular"/>
              <w:i/>
              <w:sz w:val="24"/>
              <w:szCs w:val="24"/>
              <w:lang w:val="en-GB" w:eastAsia="en-GB"/>
            </w:rPr>
            <w:t xml:space="preserve">ad hoc </w:t>
          </w:r>
          <w:r w:rsidR="009A33A3" w:rsidRPr="000D4A19">
            <w:rPr>
              <w:rFonts w:eastAsia="Times New Roman" w:cs="RijksoverheidSerif-Regular"/>
              <w:sz w:val="24"/>
              <w:szCs w:val="24"/>
              <w:lang w:val="en-GB" w:eastAsia="en-GB"/>
            </w:rPr>
            <w:t>basis) as a necessary additional safeguar</w:t>
          </w:r>
          <w:r w:rsidR="00933AF5" w:rsidRPr="000D4A19">
            <w:rPr>
              <w:rFonts w:eastAsia="Times New Roman" w:cs="RijksoverheidSerif-Regular"/>
              <w:sz w:val="24"/>
              <w:szCs w:val="24"/>
              <w:lang w:val="en-GB" w:eastAsia="en-GB"/>
            </w:rPr>
            <w:t>d</w:t>
          </w:r>
          <w:r w:rsidR="009A33A3" w:rsidRPr="000D4A19">
            <w:rPr>
              <w:rFonts w:eastAsia="Times New Roman" w:cs="RijksoverheidSerif-Regular"/>
              <w:sz w:val="24"/>
              <w:szCs w:val="24"/>
              <w:lang w:val="en-GB" w:eastAsia="en-GB"/>
            </w:rPr>
            <w:t xml:space="preserve">. Consequently, </w:t>
          </w:r>
          <w:r w:rsidR="009A33A3" w:rsidRPr="000D4A19">
            <w:rPr>
              <w:rFonts w:eastAsia="Times New Roman" w:cs="RijksoverheidSerif-Regular"/>
              <w:b/>
              <w:sz w:val="24"/>
              <w:szCs w:val="24"/>
              <w:lang w:val="en-GB" w:eastAsia="en-GB"/>
            </w:rPr>
            <w:t xml:space="preserve">GRECO recommends </w:t>
          </w:r>
          <w:bookmarkStart w:id="72" w:name="_Hlk26535714"/>
          <w:bookmarkStart w:id="73" w:name="_Hlk22745561"/>
          <w:r w:rsidR="009A33A3" w:rsidRPr="000D4A19">
            <w:rPr>
              <w:rFonts w:eastAsia="Times New Roman" w:cs="RijksoverheidSerif-Regular"/>
              <w:b/>
              <w:sz w:val="24"/>
              <w:szCs w:val="24"/>
              <w:lang w:val="en-GB" w:eastAsia="en-GB"/>
            </w:rPr>
            <w:t>that</w:t>
          </w:r>
          <w:r w:rsidR="009A33A3" w:rsidRPr="000D4A19">
            <w:rPr>
              <w:rFonts w:eastAsia="Times New Roman" w:cs="RijksoverheidSerif-Regular"/>
              <w:sz w:val="24"/>
              <w:szCs w:val="24"/>
              <w:lang w:val="en-GB" w:eastAsia="en-GB"/>
            </w:rPr>
            <w:t xml:space="preserve"> </w:t>
          </w:r>
          <w:r w:rsidR="009A33A3" w:rsidRPr="000D4A19">
            <w:rPr>
              <w:rFonts w:eastAsia="Times New Roman" w:cs="Verdana,Bold"/>
              <w:b/>
              <w:bCs/>
              <w:sz w:val="24"/>
              <w:szCs w:val="24"/>
              <w:lang w:val="en-GB" w:eastAsia="en-GB"/>
            </w:rPr>
            <w:t xml:space="preserve">a requirement of </w:t>
          </w:r>
          <w:r w:rsidR="009A33A3" w:rsidRPr="000D4A19">
            <w:rPr>
              <w:rFonts w:eastAsia="Times New Roman" w:cs="Verdana,BoldItalic"/>
              <w:b/>
              <w:bCs/>
              <w:i/>
              <w:iCs/>
              <w:sz w:val="24"/>
              <w:szCs w:val="24"/>
              <w:lang w:val="en-GB" w:eastAsia="en-GB"/>
            </w:rPr>
            <w:t xml:space="preserve">ad hoc </w:t>
          </w:r>
          <w:r w:rsidR="009A33A3" w:rsidRPr="000D4A19">
            <w:rPr>
              <w:rFonts w:eastAsia="Times New Roman" w:cs="Verdana,Bold"/>
              <w:b/>
              <w:bCs/>
              <w:sz w:val="24"/>
              <w:szCs w:val="24"/>
              <w:lang w:val="en-GB" w:eastAsia="en-GB"/>
            </w:rPr>
            <w:t>disclosure be introduced in respect of persons entrusted with top executive functions in situations of conflicts between private interests and official functions, when they occur</w:t>
          </w:r>
          <w:bookmarkEnd w:id="72"/>
          <w:r w:rsidR="009A33A3" w:rsidRPr="000D4A19">
            <w:rPr>
              <w:rFonts w:eastAsia="Times New Roman" w:cs="Verdana,Bold"/>
              <w:b/>
              <w:bCs/>
              <w:sz w:val="24"/>
              <w:szCs w:val="24"/>
              <w:lang w:val="en-GB" w:eastAsia="en-GB"/>
            </w:rPr>
            <w:t>.</w:t>
          </w:r>
        </w:p>
        <w:bookmarkEnd w:id="73"/>
        <w:p w14:paraId="19091361" w14:textId="77777777" w:rsidR="00820E32" w:rsidRPr="000D4A19" w:rsidRDefault="00820E32" w:rsidP="00820E32">
          <w:pPr>
            <w:tabs>
              <w:tab w:val="left" w:pos="709"/>
              <w:tab w:val="num" w:pos="8222"/>
            </w:tabs>
            <w:spacing w:after="0" w:line="240" w:lineRule="auto"/>
            <w:jc w:val="both"/>
            <w:rPr>
              <w:sz w:val="24"/>
              <w:szCs w:val="24"/>
              <w:lang w:val="en-GB"/>
            </w:rPr>
          </w:pPr>
        </w:p>
        <w:p w14:paraId="4C4F33A6" w14:textId="74F85045" w:rsidR="00820E32" w:rsidRPr="000D4A19" w:rsidRDefault="00820E32" w:rsidP="00820E32">
          <w:pPr>
            <w:numPr>
              <w:ilvl w:val="0"/>
              <w:numId w:val="1"/>
            </w:numPr>
            <w:tabs>
              <w:tab w:val="left" w:pos="709"/>
              <w:tab w:val="num" w:pos="1557"/>
              <w:tab w:val="num" w:pos="8222"/>
            </w:tabs>
            <w:spacing w:after="0" w:line="240" w:lineRule="auto"/>
            <w:ind w:left="0" w:firstLine="0"/>
            <w:jc w:val="both"/>
            <w:rPr>
              <w:sz w:val="24"/>
              <w:szCs w:val="24"/>
              <w:lang w:val="en-GB"/>
            </w:rPr>
          </w:pPr>
          <w:r w:rsidRPr="000D4A19">
            <w:rPr>
              <w:sz w:val="24"/>
              <w:szCs w:val="24"/>
              <w:lang w:val="en-GB"/>
            </w:rPr>
            <w:t xml:space="preserve">The GET heard on-site that the High Administrative Court had endorsed the practice of the Commission for the Prevention of Conflicts of Interest in establishing that there was a conflict of interest by reference to Article 2 of the Law. The GET welcomes this, but also notes that since then (in July 2019) the Constitutional Court has referred one case back to the administrative court </w:t>
          </w:r>
          <w:r w:rsidRPr="000D4A19">
            <w:rPr>
              <w:rFonts w:cs="Calibri"/>
              <w:sz w:val="24"/>
              <w:szCs w:val="24"/>
              <w:lang w:val="en-GB"/>
            </w:rPr>
            <w:t xml:space="preserve">in order to provide further interpretation </w:t>
          </w:r>
          <w:r w:rsidR="00117AD8">
            <w:rPr>
              <w:rFonts w:cs="Calibri"/>
              <w:sz w:val="24"/>
              <w:szCs w:val="24"/>
              <w:lang w:val="en-GB"/>
            </w:rPr>
            <w:t xml:space="preserve">of Articles 2 and 5 LCI </w:t>
          </w:r>
          <w:r w:rsidR="00E347EF">
            <w:rPr>
              <w:rFonts w:cs="Calibri"/>
              <w:sz w:val="24"/>
              <w:szCs w:val="24"/>
              <w:lang w:val="en-GB"/>
            </w:rPr>
            <w:t xml:space="preserve">(on the general integrity principles), posing the question </w:t>
          </w:r>
          <w:r w:rsidRPr="000D4A19">
            <w:rPr>
              <w:rFonts w:cs="Calibri"/>
              <w:sz w:val="24"/>
              <w:szCs w:val="24"/>
              <w:lang w:val="en-GB"/>
            </w:rPr>
            <w:t xml:space="preserve">as </w:t>
          </w:r>
          <w:r w:rsidR="00E347EF">
            <w:rPr>
              <w:rFonts w:cs="Calibri"/>
              <w:sz w:val="24"/>
              <w:szCs w:val="24"/>
              <w:lang w:val="en-GB"/>
            </w:rPr>
            <w:t>to</w:t>
          </w:r>
          <w:r w:rsidRPr="000D4A19">
            <w:rPr>
              <w:rFonts w:cs="Calibri"/>
              <w:sz w:val="24"/>
              <w:szCs w:val="24"/>
              <w:lang w:val="en-GB"/>
            </w:rPr>
            <w:t xml:space="preserve"> </w:t>
          </w:r>
          <w:r w:rsidR="003F5DF0">
            <w:rPr>
              <w:rFonts w:cs="Calibri"/>
              <w:sz w:val="24"/>
              <w:szCs w:val="24"/>
              <w:lang w:val="en-GB"/>
            </w:rPr>
            <w:t xml:space="preserve">whether </w:t>
          </w:r>
          <w:r w:rsidRPr="000D4A19">
            <w:rPr>
              <w:rFonts w:cs="Calibri"/>
              <w:sz w:val="24"/>
              <w:szCs w:val="24"/>
              <w:lang w:val="en-GB"/>
            </w:rPr>
            <w:t>the Commission would need to link this to a more specific provision of the LCI. As will be outlined further</w:t>
          </w:r>
          <w:r w:rsidR="003F5DF0">
            <w:rPr>
              <w:rFonts w:cs="Calibri"/>
              <w:sz w:val="24"/>
              <w:szCs w:val="24"/>
              <w:lang w:val="en-GB"/>
            </w:rPr>
            <w:t xml:space="preserve"> in </w:t>
          </w:r>
          <w:r w:rsidR="003F5DF0" w:rsidRPr="007A42EA">
            <w:rPr>
              <w:rFonts w:cs="Calibri"/>
              <w:sz w:val="24"/>
              <w:szCs w:val="24"/>
              <w:lang w:val="en-GB"/>
            </w:rPr>
            <w:t xml:space="preserve">paragraph </w:t>
          </w:r>
          <w:r w:rsidR="00E347EF" w:rsidRPr="007A42EA">
            <w:rPr>
              <w:rFonts w:cs="Calibri"/>
              <w:sz w:val="24"/>
              <w:szCs w:val="24"/>
              <w:lang w:val="en-GB"/>
            </w:rPr>
            <w:t>92</w:t>
          </w:r>
          <w:r w:rsidRPr="000D4A19">
            <w:rPr>
              <w:rFonts w:cs="Calibri"/>
              <w:sz w:val="24"/>
              <w:szCs w:val="24"/>
              <w:lang w:val="en-GB"/>
            </w:rPr>
            <w:t xml:space="preserve"> below, the GET</w:t>
          </w:r>
          <w:r w:rsidRPr="000D4A19">
            <w:rPr>
              <w:sz w:val="24"/>
              <w:szCs w:val="24"/>
              <w:lang w:val="en-GB"/>
            </w:rPr>
            <w:t xml:space="preserve"> considers the general article on conflicts of interest a central feature of the LCI of which the enf</w:t>
          </w:r>
          <w:r w:rsidR="003F5DF0">
            <w:rPr>
              <w:sz w:val="24"/>
              <w:szCs w:val="24"/>
              <w:lang w:val="en-GB"/>
            </w:rPr>
            <w:t>orceability needs to be ensured</w:t>
          </w:r>
          <w:r w:rsidRPr="000D4A19">
            <w:rPr>
              <w:sz w:val="24"/>
              <w:szCs w:val="24"/>
              <w:lang w:val="en-GB"/>
            </w:rPr>
            <w:t>.</w:t>
          </w:r>
        </w:p>
        <w:p w14:paraId="11D51746" w14:textId="77777777" w:rsidR="00D33AD2" w:rsidRPr="000D4A19" w:rsidRDefault="00D33AD2" w:rsidP="00664B59">
          <w:pPr>
            <w:tabs>
              <w:tab w:val="left" w:pos="709"/>
              <w:tab w:val="num" w:pos="8222"/>
            </w:tabs>
            <w:spacing w:after="0" w:line="240" w:lineRule="auto"/>
            <w:jc w:val="both"/>
            <w:rPr>
              <w:sz w:val="24"/>
              <w:szCs w:val="24"/>
              <w:lang w:val="en-GB"/>
            </w:rPr>
          </w:pPr>
        </w:p>
        <w:p w14:paraId="2DDC7A86" w14:textId="77777777" w:rsidR="009919AC" w:rsidRPr="000D4A19" w:rsidRDefault="009919AC" w:rsidP="004B7CAB">
          <w:pPr>
            <w:pStyle w:val="Naslov2"/>
            <w:keepNext w:val="0"/>
            <w:keepLines w:val="0"/>
            <w:tabs>
              <w:tab w:val="left" w:pos="709"/>
            </w:tabs>
            <w:spacing w:before="0" w:line="240" w:lineRule="auto"/>
            <w:jc w:val="both"/>
            <w:rPr>
              <w:rFonts w:asciiTheme="minorHAnsi" w:hAnsiTheme="minorHAnsi"/>
              <w:color w:val="auto"/>
              <w:sz w:val="24"/>
              <w:szCs w:val="24"/>
              <w:u w:val="single"/>
              <w:lang w:val="en-GB"/>
            </w:rPr>
          </w:pPr>
          <w:bookmarkStart w:id="74" w:name="_Toc4762860"/>
          <w:bookmarkStart w:id="75" w:name="_Toc25229303"/>
          <w:r w:rsidRPr="000D4A19">
            <w:rPr>
              <w:rFonts w:asciiTheme="minorHAnsi" w:hAnsiTheme="minorHAnsi"/>
              <w:color w:val="auto"/>
              <w:sz w:val="24"/>
              <w:szCs w:val="24"/>
              <w:u w:val="single"/>
              <w:lang w:val="en-GB"/>
            </w:rPr>
            <w:t>Prohibition or restriction of certain activities</w:t>
          </w:r>
          <w:bookmarkEnd w:id="70"/>
          <w:bookmarkEnd w:id="71"/>
          <w:bookmarkEnd w:id="74"/>
          <w:bookmarkEnd w:id="75"/>
        </w:p>
        <w:p w14:paraId="7E55247E" w14:textId="77777777" w:rsidR="009919AC" w:rsidRPr="000D4A19" w:rsidRDefault="009919AC" w:rsidP="004B7CAB">
          <w:pPr>
            <w:spacing w:after="0" w:line="240" w:lineRule="auto"/>
            <w:jc w:val="both"/>
            <w:rPr>
              <w:sz w:val="24"/>
              <w:szCs w:val="24"/>
              <w:lang w:val="en-GB"/>
            </w:rPr>
          </w:pPr>
        </w:p>
        <w:p w14:paraId="2365F05C"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76" w:name="_Toc342554256"/>
          <w:bookmarkStart w:id="77" w:name="_Toc342640931"/>
          <w:bookmarkStart w:id="78" w:name="_Toc4762861"/>
          <w:bookmarkStart w:id="79" w:name="_Toc25229304"/>
          <w:bookmarkEnd w:id="64"/>
          <w:bookmarkEnd w:id="65"/>
          <w:r w:rsidRPr="000D4A19">
            <w:rPr>
              <w:rFonts w:asciiTheme="minorHAnsi" w:hAnsiTheme="minorHAnsi"/>
              <w:b w:val="0"/>
              <w:i/>
              <w:color w:val="auto"/>
              <w:sz w:val="24"/>
              <w:szCs w:val="24"/>
              <w:lang w:val="en-GB"/>
            </w:rPr>
            <w:t>Incompatibilities, outside activities and financial interests</w:t>
          </w:r>
          <w:bookmarkEnd w:id="76"/>
          <w:bookmarkEnd w:id="77"/>
          <w:bookmarkEnd w:id="78"/>
          <w:bookmarkEnd w:id="79"/>
        </w:p>
        <w:p w14:paraId="18C2B332" w14:textId="77777777" w:rsidR="009919AC" w:rsidRPr="000D4A19" w:rsidRDefault="009919AC" w:rsidP="004B7CAB">
          <w:pPr>
            <w:spacing w:after="0" w:line="240" w:lineRule="auto"/>
            <w:jc w:val="both"/>
            <w:rPr>
              <w:rFonts w:cs="Arial"/>
              <w:sz w:val="24"/>
              <w:szCs w:val="24"/>
              <w:lang w:val="en-GB"/>
            </w:rPr>
          </w:pPr>
        </w:p>
        <w:p w14:paraId="00613A5E" w14:textId="6FABD31E" w:rsidR="009919AC" w:rsidRPr="000D4A19" w:rsidRDefault="009919AC" w:rsidP="004B7CAB">
          <w:pPr>
            <w:numPr>
              <w:ilvl w:val="0"/>
              <w:numId w:val="1"/>
            </w:numPr>
            <w:tabs>
              <w:tab w:val="num" w:pos="681"/>
              <w:tab w:val="num" w:pos="1557"/>
              <w:tab w:val="num" w:pos="8222"/>
            </w:tabs>
            <w:spacing w:after="0" w:line="240" w:lineRule="auto"/>
            <w:ind w:left="0" w:firstLine="0"/>
            <w:jc w:val="both"/>
            <w:rPr>
              <w:rFonts w:cs="Calibri"/>
              <w:sz w:val="24"/>
              <w:szCs w:val="24"/>
              <w:lang w:val="en-GB"/>
            </w:rPr>
          </w:pPr>
          <w:r w:rsidRPr="000D4A19">
            <w:rPr>
              <w:rFonts w:cs="Calibri"/>
              <w:sz w:val="24"/>
              <w:szCs w:val="24"/>
              <w:lang w:val="en-GB"/>
            </w:rPr>
            <w:t>The Constitution (Article 109) provides that the Prime Minister and members of the government may not perform any other public or professional duty without the consent of the government. The LCI furthermore provides that officials covered by the remit of the LCI may not exercise any other public office, except if explicitly regulated differently by law, and may not perform any other remunerated activities. Derogations to this principle are possible subject to prior approval by the Commission for the Prevention of Conflicts of Interest (Article 13, LCI). If the Commission establishes a breach of the aforementioned principle, it orders the person concerned to put an end to the secondary activity within a minimum</w:t>
          </w:r>
          <w:r w:rsidR="00664B59" w:rsidRPr="000D4A19">
            <w:rPr>
              <w:rFonts w:cs="Calibri"/>
              <w:sz w:val="24"/>
              <w:szCs w:val="24"/>
              <w:lang w:val="en-GB"/>
            </w:rPr>
            <w:t xml:space="preserve"> of 15 to a maximum of 90 days. </w:t>
          </w:r>
        </w:p>
        <w:p w14:paraId="2D08DA47" w14:textId="77777777" w:rsidR="009919AC" w:rsidRPr="000D4A19" w:rsidRDefault="009919AC" w:rsidP="004B7CAB">
          <w:pPr>
            <w:tabs>
              <w:tab w:val="num" w:pos="8222"/>
            </w:tabs>
            <w:spacing w:after="0" w:line="240" w:lineRule="auto"/>
            <w:jc w:val="both"/>
            <w:rPr>
              <w:rFonts w:cs="Calibri"/>
              <w:sz w:val="24"/>
              <w:szCs w:val="24"/>
              <w:lang w:val="en-GB"/>
            </w:rPr>
          </w:pPr>
        </w:p>
        <w:p w14:paraId="47AA9D20" w14:textId="7ADD8FF3" w:rsidR="009919AC" w:rsidRPr="000D4A19" w:rsidRDefault="009919AC" w:rsidP="004B7CAB">
          <w:pPr>
            <w:numPr>
              <w:ilvl w:val="0"/>
              <w:numId w:val="1"/>
            </w:numPr>
            <w:tabs>
              <w:tab w:val="num" w:pos="681"/>
              <w:tab w:val="num" w:pos="1557"/>
              <w:tab w:val="num" w:pos="8222"/>
            </w:tabs>
            <w:spacing w:after="0" w:line="240" w:lineRule="auto"/>
            <w:ind w:left="0" w:firstLine="0"/>
            <w:jc w:val="both"/>
            <w:rPr>
              <w:rFonts w:cs="Calibri"/>
              <w:sz w:val="24"/>
              <w:szCs w:val="24"/>
              <w:lang w:val="en-GB"/>
            </w:rPr>
          </w:pPr>
          <w:r w:rsidRPr="000D4A19">
            <w:rPr>
              <w:rFonts w:cs="Calibri"/>
              <w:sz w:val="24"/>
              <w:szCs w:val="24"/>
              <w:lang w:val="en-GB"/>
            </w:rPr>
            <w:t xml:space="preserve">Exceptions to the aforementioned principles of the LCI apply: </w:t>
          </w:r>
          <w:r w:rsidR="0092391F" w:rsidRPr="000D4A19">
            <w:rPr>
              <w:rFonts w:cs="Calibri"/>
              <w:sz w:val="24"/>
              <w:szCs w:val="24"/>
              <w:lang w:val="en-GB"/>
            </w:rPr>
            <w:t>p</w:t>
          </w:r>
          <w:r w:rsidRPr="000D4A19">
            <w:rPr>
              <w:rFonts w:cs="Calibri"/>
              <w:sz w:val="24"/>
              <w:szCs w:val="24"/>
              <w:lang w:val="en-GB"/>
            </w:rPr>
            <w:t>rior approval of the Commission is not required for the performance of scientific, research, educational, sporting, cultural, artistic and independent agricultural activities for income generating activities based on copyright, patent and related intellectual and industrial property rights and for the acquisition of income and benefits</w:t>
          </w:r>
          <w:r w:rsidR="0092391F" w:rsidRPr="000D4A19">
            <w:rPr>
              <w:rFonts w:cs="Calibri"/>
              <w:sz w:val="24"/>
              <w:szCs w:val="24"/>
              <w:lang w:val="en-GB"/>
            </w:rPr>
            <w:t>,</w:t>
          </w:r>
          <w:r w:rsidRPr="000D4A19">
            <w:rPr>
              <w:rFonts w:cs="Calibri"/>
              <w:sz w:val="24"/>
              <w:szCs w:val="24"/>
              <w:lang w:val="en-GB"/>
            </w:rPr>
            <w:t xml:space="preserve"> arising from participation in international projects funded by the European Union, foreign countries or international foreign organisations and associations. However, in this case, the officials must report to the Commission any remuneration received for the performance of these activities.</w:t>
          </w:r>
        </w:p>
        <w:p w14:paraId="775AB9DA" w14:textId="77777777" w:rsidR="009919AC" w:rsidRPr="000D4A19" w:rsidRDefault="009919AC" w:rsidP="004B7CAB">
          <w:pPr>
            <w:tabs>
              <w:tab w:val="num" w:pos="8222"/>
            </w:tabs>
            <w:spacing w:after="0" w:line="240" w:lineRule="auto"/>
            <w:jc w:val="both"/>
            <w:rPr>
              <w:rFonts w:cs="Calibri"/>
              <w:sz w:val="24"/>
              <w:szCs w:val="24"/>
              <w:lang w:val="en-GB"/>
            </w:rPr>
          </w:pPr>
        </w:p>
        <w:p w14:paraId="766D42D6" w14:textId="44A7C69F" w:rsidR="009919AC" w:rsidRPr="000D4A19" w:rsidRDefault="009919AC" w:rsidP="004B7CAB">
          <w:pPr>
            <w:numPr>
              <w:ilvl w:val="0"/>
              <w:numId w:val="1"/>
            </w:numPr>
            <w:tabs>
              <w:tab w:val="num" w:pos="681"/>
              <w:tab w:val="num" w:pos="1557"/>
              <w:tab w:val="num" w:pos="8222"/>
            </w:tabs>
            <w:spacing w:after="0" w:line="240" w:lineRule="auto"/>
            <w:ind w:left="0" w:firstLine="0"/>
            <w:jc w:val="both"/>
            <w:rPr>
              <w:rFonts w:cs="Arial"/>
              <w:sz w:val="24"/>
              <w:szCs w:val="24"/>
              <w:lang w:val="en-GB"/>
            </w:rPr>
          </w:pPr>
          <w:r w:rsidRPr="000D4A19">
            <w:rPr>
              <w:rFonts w:cs="Calibri"/>
              <w:sz w:val="24"/>
              <w:szCs w:val="24"/>
              <w:lang w:val="en-GB"/>
            </w:rPr>
            <w:t xml:space="preserve">Membership in supervisory and management boards of business entities is additionally prohibited, with the exception of a maximum of two management boards of institutions or supervisory boards of </w:t>
          </w:r>
          <w:r w:rsidR="00317620" w:rsidRPr="000D4A19">
            <w:rPr>
              <w:rFonts w:cs="Calibri"/>
              <w:sz w:val="24"/>
              <w:szCs w:val="24"/>
              <w:lang w:val="en-GB"/>
            </w:rPr>
            <w:t>extra-</w:t>
          </w:r>
          <w:r w:rsidRPr="000D4A19">
            <w:rPr>
              <w:rFonts w:cs="Calibri"/>
              <w:sz w:val="24"/>
              <w:szCs w:val="24"/>
              <w:lang w:val="en-GB"/>
            </w:rPr>
            <w:t xml:space="preserve">budgetary funds which are of special interest to the state or a local or regional self-government body or if required by law by virtue of the official’s position (Article 14, LCI). They are however not entitled to receive any remuneration for these positions, except those derived from travel and related justifiable expenses. Furthermore, if an official owns 0.5% or more shares in a private company, the relevant management rights must be transferred to another person; this other person cannot be connected to the public official (Article 16, in connection with Article 4, LCI). </w:t>
          </w:r>
        </w:p>
        <w:p w14:paraId="5B4C3E26" w14:textId="77777777" w:rsidR="00664B59" w:rsidRPr="000D4A19" w:rsidRDefault="00664B59" w:rsidP="00664B59">
          <w:pPr>
            <w:tabs>
              <w:tab w:val="num" w:pos="1557"/>
              <w:tab w:val="num" w:pos="8222"/>
            </w:tabs>
            <w:spacing w:after="0" w:line="240" w:lineRule="auto"/>
            <w:jc w:val="both"/>
            <w:rPr>
              <w:rFonts w:cs="Arial"/>
              <w:sz w:val="24"/>
              <w:szCs w:val="24"/>
              <w:lang w:val="en-GB"/>
            </w:rPr>
          </w:pPr>
        </w:p>
        <w:p w14:paraId="58A9FA8F"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80" w:name="_Toc342554257"/>
          <w:bookmarkStart w:id="81" w:name="_Toc342640932"/>
          <w:bookmarkStart w:id="82" w:name="_Toc4762862"/>
          <w:bookmarkStart w:id="83" w:name="_Toc25229305"/>
          <w:r w:rsidRPr="000D4A19">
            <w:rPr>
              <w:rFonts w:asciiTheme="minorHAnsi" w:hAnsiTheme="minorHAnsi"/>
              <w:b w:val="0"/>
              <w:i/>
              <w:color w:val="auto"/>
              <w:sz w:val="24"/>
              <w:szCs w:val="24"/>
              <w:lang w:val="en-GB"/>
            </w:rPr>
            <w:t>Contracts with state authorities</w:t>
          </w:r>
          <w:bookmarkEnd w:id="80"/>
          <w:bookmarkEnd w:id="81"/>
          <w:bookmarkEnd w:id="82"/>
          <w:bookmarkEnd w:id="83"/>
        </w:p>
        <w:p w14:paraId="0BFE32AB" w14:textId="77777777" w:rsidR="009919AC" w:rsidRPr="000D4A19" w:rsidRDefault="009919AC" w:rsidP="004B7CAB">
          <w:pPr>
            <w:tabs>
              <w:tab w:val="left" w:pos="567"/>
              <w:tab w:val="left" w:pos="709"/>
            </w:tabs>
            <w:spacing w:after="0" w:line="240" w:lineRule="auto"/>
            <w:jc w:val="both"/>
            <w:rPr>
              <w:rFonts w:cstheme="minorHAnsi"/>
              <w:sz w:val="24"/>
              <w:szCs w:val="24"/>
              <w:lang w:val="en-GB"/>
            </w:rPr>
          </w:pPr>
        </w:p>
        <w:p w14:paraId="0C68422E" w14:textId="737BA3D7" w:rsidR="009919AC" w:rsidRPr="000D4A19" w:rsidRDefault="009919AC" w:rsidP="004B7CAB">
          <w:pPr>
            <w:numPr>
              <w:ilvl w:val="0"/>
              <w:numId w:val="1"/>
            </w:numPr>
            <w:tabs>
              <w:tab w:val="num" w:pos="681"/>
              <w:tab w:val="num" w:pos="1557"/>
              <w:tab w:val="num" w:pos="8222"/>
            </w:tabs>
            <w:spacing w:after="0" w:line="240" w:lineRule="auto"/>
            <w:ind w:left="0" w:firstLine="0"/>
            <w:jc w:val="both"/>
            <w:rPr>
              <w:rFonts w:cs="Calibri"/>
              <w:sz w:val="24"/>
              <w:szCs w:val="24"/>
              <w:lang w:val="en-GB"/>
            </w:rPr>
          </w:pPr>
          <w:bookmarkStart w:id="84" w:name="_Toc342554255"/>
          <w:bookmarkStart w:id="85" w:name="_Toc342640930"/>
          <w:bookmarkStart w:id="86" w:name="_Toc342554259"/>
          <w:bookmarkStart w:id="87" w:name="_Toc342640934"/>
          <w:bookmarkStart w:id="88" w:name="_Toc342554258"/>
          <w:bookmarkStart w:id="89" w:name="_Toc342640933"/>
          <w:r w:rsidRPr="000D4A19">
            <w:rPr>
              <w:rFonts w:cs="Calibri"/>
              <w:sz w:val="24"/>
              <w:szCs w:val="24"/>
              <w:lang w:val="en-GB"/>
            </w:rPr>
            <w:t xml:space="preserve">It is not possible for a company in which an official holds 0.5% or more of its shares to enter into contract (whether as a single contractor or in </w:t>
          </w:r>
          <w:r w:rsidR="00E347EF">
            <w:rPr>
              <w:rFonts w:cs="Calibri"/>
              <w:sz w:val="24"/>
              <w:szCs w:val="24"/>
              <w:lang w:val="en-GB"/>
            </w:rPr>
            <w:t xml:space="preserve">a </w:t>
          </w:r>
          <w:r w:rsidRPr="000D4A19">
            <w:rPr>
              <w:rFonts w:cs="Calibri"/>
              <w:sz w:val="24"/>
              <w:szCs w:val="24"/>
              <w:lang w:val="en-GB"/>
            </w:rPr>
            <w:t>consorti</w:t>
          </w:r>
          <w:r w:rsidR="00E347EF">
            <w:rPr>
              <w:rFonts w:cs="Calibri"/>
              <w:sz w:val="24"/>
              <w:szCs w:val="24"/>
              <w:lang w:val="en-GB"/>
            </w:rPr>
            <w:t>um</w:t>
          </w:r>
          <w:r w:rsidRPr="000D4A19">
            <w:rPr>
              <w:rFonts w:cs="Calibri"/>
              <w:sz w:val="24"/>
              <w:szCs w:val="24"/>
              <w:lang w:val="en-GB"/>
            </w:rPr>
            <w:t xml:space="preserve">) with a public authority in which the official in question exercises his/her office (Article 17, LCI). This restriction is further detailed in the </w:t>
          </w:r>
          <w:r w:rsidRPr="000D4A19">
            <w:rPr>
              <w:sz w:val="24"/>
              <w:szCs w:val="24"/>
              <w:lang w:val="en-GB"/>
            </w:rPr>
            <w:t>Public Procurement Act</w:t>
          </w:r>
          <w:r w:rsidRPr="000D4A19">
            <w:rPr>
              <w:rFonts w:cs="Calibri"/>
              <w:sz w:val="24"/>
              <w:szCs w:val="24"/>
              <w:lang w:val="en-GB"/>
            </w:rPr>
            <w:t xml:space="preserve">. The aforementioned restriction also applies to business entities in which a member of the official’s family holds 0.5% of the shares, if these shares were acquired, directly or indirectly, in the period of two years prior to the official taking up his/her position to the end of his/her office (Article 17, LCI). </w:t>
          </w:r>
        </w:p>
        <w:p w14:paraId="2DF89802" w14:textId="77777777" w:rsidR="00CF48C5" w:rsidRPr="000D4A19" w:rsidRDefault="00CF48C5" w:rsidP="00CF48C5">
          <w:pPr>
            <w:tabs>
              <w:tab w:val="num" w:pos="1557"/>
              <w:tab w:val="num" w:pos="8222"/>
            </w:tabs>
            <w:spacing w:after="0" w:line="240" w:lineRule="auto"/>
            <w:jc w:val="both"/>
            <w:rPr>
              <w:rFonts w:cs="Calibri"/>
              <w:sz w:val="24"/>
              <w:szCs w:val="24"/>
              <w:lang w:val="en-GB"/>
            </w:rPr>
          </w:pPr>
        </w:p>
        <w:p w14:paraId="16BF8FDE" w14:textId="0A9F68BB" w:rsidR="009919AC" w:rsidRPr="000D4A19" w:rsidRDefault="009919AC" w:rsidP="004B7CAB">
          <w:pPr>
            <w:numPr>
              <w:ilvl w:val="0"/>
              <w:numId w:val="1"/>
            </w:numPr>
            <w:tabs>
              <w:tab w:val="num" w:pos="681"/>
              <w:tab w:val="num" w:pos="1557"/>
              <w:tab w:val="num" w:pos="8222"/>
            </w:tabs>
            <w:spacing w:after="0" w:line="240" w:lineRule="auto"/>
            <w:ind w:left="0" w:firstLine="0"/>
            <w:jc w:val="both"/>
            <w:rPr>
              <w:rFonts w:cs="Calibri"/>
              <w:sz w:val="24"/>
              <w:szCs w:val="24"/>
              <w:lang w:val="en-GB"/>
            </w:rPr>
          </w:pPr>
          <w:r w:rsidRPr="000D4A19">
            <w:rPr>
              <w:rFonts w:cs="Calibri"/>
              <w:sz w:val="24"/>
              <w:szCs w:val="24"/>
              <w:lang w:val="en-GB"/>
            </w:rPr>
            <w:t>Officials are required to inform the Commission for the Prevention of Conflicts of Interest, within 30 days of assuming office, of the name, registration number and seat of the business entities in which s/he or his/her family members hold 0.5% of the shares, as well as to report any related changes, as necessary (Article 17, LCI). The Commission publishes a regularly updated list of business entities covered by the aforementioned restrictions on its website. If the institution in which the official serves enters into contract with a business entity in which a member of the official’s family holds 0.5% or more ownership, the official concerned must promptly notify the Commission thereof (Article 18, LCI).</w:t>
          </w:r>
          <w:r w:rsidR="00A02888" w:rsidRPr="000D4A19">
            <w:rPr>
              <w:rFonts w:cs="Calibri"/>
              <w:sz w:val="24"/>
              <w:szCs w:val="24"/>
              <w:lang w:val="en-GB"/>
            </w:rPr>
            <w:t xml:space="preserve"> </w:t>
          </w:r>
          <w:r w:rsidR="00535D43" w:rsidRPr="000D4A19">
            <w:rPr>
              <w:rFonts w:cs="Calibri"/>
              <w:sz w:val="24"/>
              <w:szCs w:val="24"/>
              <w:lang w:val="en-GB"/>
            </w:rPr>
            <w:t>In discussin</w:t>
          </w:r>
          <w:r w:rsidR="00710A74" w:rsidRPr="000D4A19">
            <w:rPr>
              <w:rFonts w:cs="Calibri"/>
              <w:sz w:val="24"/>
              <w:szCs w:val="24"/>
              <w:lang w:val="en-GB"/>
            </w:rPr>
            <w:t>g this issue on-site civil society organisations placed great faith</w:t>
          </w:r>
          <w:r w:rsidR="00535D43" w:rsidRPr="000D4A19">
            <w:rPr>
              <w:rFonts w:cs="Calibri"/>
              <w:sz w:val="24"/>
              <w:szCs w:val="24"/>
              <w:lang w:val="en-GB"/>
            </w:rPr>
            <w:t xml:space="preserve"> </w:t>
          </w:r>
          <w:r w:rsidR="00710A74" w:rsidRPr="000D4A19">
            <w:rPr>
              <w:rFonts w:cs="Calibri"/>
              <w:sz w:val="24"/>
              <w:szCs w:val="24"/>
              <w:lang w:val="en-GB"/>
            </w:rPr>
            <w:t xml:space="preserve">in a beneficial ownership registry, which should become public by the end of the year.  </w:t>
          </w:r>
        </w:p>
        <w:p w14:paraId="4DFEF11E" w14:textId="77777777" w:rsidR="009919AC" w:rsidRPr="000D4A19" w:rsidRDefault="009919AC" w:rsidP="004B7CAB">
          <w:pPr>
            <w:pStyle w:val="Odlomakpopisa"/>
            <w:spacing w:after="0" w:line="240" w:lineRule="auto"/>
            <w:ind w:left="0"/>
            <w:jc w:val="both"/>
            <w:rPr>
              <w:rFonts w:eastAsiaTheme="majorEastAsia" w:cstheme="majorBidi"/>
              <w:bCs/>
              <w:sz w:val="24"/>
              <w:szCs w:val="24"/>
              <w:lang w:val="en-GB"/>
            </w:rPr>
          </w:pPr>
        </w:p>
        <w:p w14:paraId="4874F1F3"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90" w:name="_Toc4762863"/>
          <w:bookmarkStart w:id="91" w:name="_Toc25229306"/>
          <w:r w:rsidRPr="000D4A19">
            <w:rPr>
              <w:rFonts w:asciiTheme="minorHAnsi" w:hAnsiTheme="minorHAnsi"/>
              <w:b w:val="0"/>
              <w:i/>
              <w:color w:val="auto"/>
              <w:sz w:val="24"/>
              <w:szCs w:val="24"/>
              <w:lang w:val="en-GB"/>
            </w:rPr>
            <w:t>Gifts</w:t>
          </w:r>
          <w:bookmarkEnd w:id="84"/>
          <w:bookmarkEnd w:id="85"/>
          <w:bookmarkEnd w:id="86"/>
          <w:bookmarkEnd w:id="87"/>
          <w:bookmarkEnd w:id="90"/>
          <w:bookmarkEnd w:id="91"/>
        </w:p>
        <w:p w14:paraId="4972E040" w14:textId="77777777" w:rsidR="009919AC" w:rsidRPr="000D4A19" w:rsidRDefault="009919AC" w:rsidP="004B7CAB">
          <w:pPr>
            <w:tabs>
              <w:tab w:val="left" w:pos="567"/>
              <w:tab w:val="left" w:pos="709"/>
            </w:tabs>
            <w:spacing w:after="0" w:line="240" w:lineRule="auto"/>
            <w:jc w:val="both"/>
            <w:rPr>
              <w:rFonts w:cstheme="minorHAnsi"/>
              <w:b/>
              <w:sz w:val="24"/>
              <w:szCs w:val="24"/>
              <w:u w:val="single"/>
              <w:lang w:val="en-GB"/>
            </w:rPr>
          </w:pPr>
        </w:p>
        <w:p w14:paraId="11A7DD11" w14:textId="69496664" w:rsidR="0037408E" w:rsidRPr="000D4A19" w:rsidRDefault="009919AC" w:rsidP="0037408E">
          <w:pPr>
            <w:numPr>
              <w:ilvl w:val="0"/>
              <w:numId w:val="1"/>
            </w:numPr>
            <w:tabs>
              <w:tab w:val="num" w:pos="681"/>
              <w:tab w:val="num" w:pos="1557"/>
              <w:tab w:val="num" w:pos="8222"/>
            </w:tabs>
            <w:spacing w:after="0" w:line="240" w:lineRule="auto"/>
            <w:ind w:left="0" w:firstLine="0"/>
            <w:jc w:val="both"/>
            <w:rPr>
              <w:rFonts w:cs="Calibri"/>
              <w:sz w:val="24"/>
              <w:szCs w:val="24"/>
              <w:lang w:val="en-GB"/>
            </w:rPr>
          </w:pPr>
          <w:r w:rsidRPr="000D4A19">
            <w:rPr>
              <w:sz w:val="24"/>
              <w:szCs w:val="24"/>
              <w:lang w:val="en-GB"/>
            </w:rPr>
            <w:t>Officials are prohibited from accepting benefits or gifts – money, items regardless of their value, rights and services provided without compensation – or promises of benefits</w:t>
          </w:r>
          <w:r w:rsidR="00E347EF">
            <w:rPr>
              <w:sz w:val="24"/>
              <w:szCs w:val="24"/>
              <w:lang w:val="en-GB"/>
            </w:rPr>
            <w:t xml:space="preserve"> or </w:t>
          </w:r>
          <w:r w:rsidRPr="000D4A19">
            <w:rPr>
              <w:sz w:val="24"/>
              <w:szCs w:val="24"/>
              <w:lang w:val="en-GB"/>
            </w:rPr>
            <w:t>gifts in connection with their duties (Articles 7 and 11, LCI). Acceptance of money, securities (e.g., shares, bonds, etc.) or precious metal is specifically banned (Article 11, paragraph 4</w:t>
          </w:r>
          <w:r w:rsidR="00317620" w:rsidRPr="000D4A19">
            <w:rPr>
              <w:sz w:val="24"/>
              <w:szCs w:val="24"/>
              <w:lang w:val="en-GB"/>
            </w:rPr>
            <w:t>,</w:t>
          </w:r>
          <w:r w:rsidRPr="000D4A19">
            <w:rPr>
              <w:sz w:val="24"/>
              <w:szCs w:val="24"/>
              <w:lang w:val="en-GB"/>
            </w:rPr>
            <w:t xml:space="preserve"> LCI). In addition, the LCI provides that officials are only allowed to keep gifts of a symbolic value, i.e. gifts valued under HRK 500 (approximately 67 EUR) received from the same donor in a given year. Any gift that exceeds the afore-mentioned threshold has</w:t>
          </w:r>
          <w:r w:rsidR="00434583" w:rsidRPr="000D4A19">
            <w:rPr>
              <w:sz w:val="24"/>
              <w:szCs w:val="24"/>
              <w:lang w:val="en-GB"/>
            </w:rPr>
            <w:t xml:space="preserve"> </w:t>
          </w:r>
          <w:r w:rsidRPr="000D4A19">
            <w:rPr>
              <w:sz w:val="24"/>
              <w:szCs w:val="24"/>
              <w:lang w:val="en-GB"/>
            </w:rPr>
            <w:t xml:space="preserve">to be reported to the Commission </w:t>
          </w:r>
          <w:r w:rsidRPr="000D4A19">
            <w:rPr>
              <w:rFonts w:ascii="Calibri" w:hAnsi="Calibri"/>
              <w:sz w:val="24"/>
              <w:szCs w:val="24"/>
              <w:lang w:val="en-GB"/>
            </w:rPr>
            <w:t xml:space="preserve">for the Prevention of Conflicts of Interest and subsequently becomes national property. </w:t>
          </w:r>
          <w:r w:rsidR="0037408E" w:rsidRPr="000D4A19">
            <w:rPr>
              <w:rFonts w:ascii="Calibri" w:hAnsi="Calibri"/>
              <w:sz w:val="24"/>
              <w:szCs w:val="24"/>
              <w:lang w:val="en-GB"/>
            </w:rPr>
            <w:t xml:space="preserve">Further procedures on gifts have been regulated through the Ordinance on gifts for Public Officials, No. 141/04).  </w:t>
          </w:r>
          <w:r w:rsidR="0037408E" w:rsidRPr="000D4A19">
            <w:rPr>
              <w:rFonts w:cs="Calibri"/>
              <w:sz w:val="24"/>
              <w:szCs w:val="24"/>
              <w:lang w:val="en-GB"/>
            </w:rPr>
            <w:t xml:space="preserve">In </w:t>
          </w:r>
          <w:r w:rsidR="00032BCC" w:rsidRPr="000D4A19">
            <w:rPr>
              <w:rFonts w:cs="Calibri"/>
              <w:sz w:val="24"/>
              <w:szCs w:val="24"/>
              <w:lang w:val="en-GB"/>
            </w:rPr>
            <w:t xml:space="preserve">the </w:t>
          </w:r>
          <w:r w:rsidR="0037408E" w:rsidRPr="000D4A19">
            <w:rPr>
              <w:rFonts w:cs="Calibri"/>
              <w:sz w:val="24"/>
              <w:szCs w:val="24"/>
              <w:lang w:val="en-GB"/>
            </w:rPr>
            <w:t>view of the GET</w:t>
          </w:r>
          <w:r w:rsidR="00032BCC" w:rsidRPr="000D4A19">
            <w:rPr>
              <w:rFonts w:cs="Calibri"/>
              <w:sz w:val="24"/>
              <w:szCs w:val="24"/>
              <w:lang w:val="en-GB"/>
            </w:rPr>
            <w:t>,</w:t>
          </w:r>
          <w:r w:rsidR="0037408E" w:rsidRPr="000D4A19">
            <w:rPr>
              <w:rFonts w:cs="Calibri"/>
              <w:sz w:val="24"/>
              <w:szCs w:val="24"/>
              <w:lang w:val="en-GB"/>
            </w:rPr>
            <w:t xml:space="preserve"> it would be advisable to provide further guidance on the issue of gifts </w:t>
          </w:r>
          <w:r w:rsidR="00032BCC" w:rsidRPr="000D4A19">
            <w:rPr>
              <w:rFonts w:cs="Calibri"/>
              <w:sz w:val="24"/>
              <w:szCs w:val="24"/>
              <w:lang w:val="en-GB"/>
            </w:rPr>
            <w:t xml:space="preserve">in </w:t>
          </w:r>
          <w:r w:rsidR="0037408E" w:rsidRPr="000D4A19">
            <w:rPr>
              <w:rFonts w:cs="Calibri"/>
              <w:sz w:val="24"/>
              <w:szCs w:val="24"/>
              <w:lang w:val="en-GB"/>
            </w:rPr>
            <w:t xml:space="preserve">connection with recommendation ii, given that the line between acceptable and non-acceptable gifts is not always easy to draw and compliance with these provisions is not easy to supervise. </w:t>
          </w:r>
        </w:p>
        <w:p w14:paraId="644F7157" w14:textId="77777777" w:rsidR="009919AC" w:rsidRPr="000D4A19" w:rsidRDefault="009919AC" w:rsidP="004B7CAB">
          <w:pPr>
            <w:pStyle w:val="Odlomakpopisa"/>
            <w:spacing w:after="0" w:line="240" w:lineRule="auto"/>
            <w:ind w:left="0"/>
            <w:jc w:val="both"/>
            <w:rPr>
              <w:rFonts w:cs="Arial"/>
              <w:sz w:val="24"/>
              <w:szCs w:val="24"/>
              <w:lang w:val="en-GB"/>
            </w:rPr>
          </w:pPr>
        </w:p>
        <w:p w14:paraId="56BC0A25"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cstheme="minorHAnsi"/>
              <w:b w:val="0"/>
              <w:i/>
              <w:color w:val="auto"/>
              <w:sz w:val="24"/>
              <w:szCs w:val="24"/>
              <w:lang w:val="en-GB"/>
            </w:rPr>
          </w:pPr>
          <w:bookmarkStart w:id="92" w:name="_Toc342554260"/>
          <w:bookmarkStart w:id="93" w:name="_Toc342640935"/>
          <w:bookmarkStart w:id="94" w:name="_Toc4762864"/>
          <w:bookmarkStart w:id="95" w:name="_Toc25229307"/>
          <w:r w:rsidRPr="000D4A19">
            <w:rPr>
              <w:rFonts w:asciiTheme="minorHAnsi" w:hAnsiTheme="minorHAnsi" w:cstheme="minorHAnsi"/>
              <w:b w:val="0"/>
              <w:i/>
              <w:color w:val="auto"/>
              <w:sz w:val="24"/>
              <w:szCs w:val="24"/>
              <w:lang w:val="en-GB"/>
            </w:rPr>
            <w:t>Misuse of public resources</w:t>
          </w:r>
          <w:bookmarkEnd w:id="92"/>
          <w:bookmarkEnd w:id="93"/>
          <w:bookmarkEnd w:id="94"/>
          <w:bookmarkEnd w:id="95"/>
        </w:p>
        <w:p w14:paraId="06DE0ABB" w14:textId="77777777" w:rsidR="009919AC" w:rsidRPr="000D4A19" w:rsidRDefault="009919AC" w:rsidP="004B7CAB">
          <w:pPr>
            <w:tabs>
              <w:tab w:val="left" w:pos="567"/>
              <w:tab w:val="left" w:pos="709"/>
            </w:tabs>
            <w:spacing w:after="0" w:line="240" w:lineRule="auto"/>
            <w:jc w:val="both"/>
            <w:rPr>
              <w:rFonts w:cstheme="minorHAnsi"/>
              <w:b/>
              <w:sz w:val="24"/>
              <w:szCs w:val="24"/>
              <w:u w:val="single"/>
              <w:lang w:val="en-GB"/>
            </w:rPr>
          </w:pPr>
        </w:p>
        <w:p w14:paraId="0F4E60E2" w14:textId="77777777" w:rsidR="009919AC" w:rsidRPr="000D4A19" w:rsidRDefault="009919AC" w:rsidP="004B7CAB">
          <w:pPr>
            <w:numPr>
              <w:ilvl w:val="0"/>
              <w:numId w:val="1"/>
            </w:numPr>
            <w:tabs>
              <w:tab w:val="num" w:pos="681"/>
              <w:tab w:val="left" w:pos="709"/>
              <w:tab w:val="num" w:pos="1557"/>
              <w:tab w:val="num" w:pos="8222"/>
            </w:tabs>
            <w:spacing w:after="0" w:line="240" w:lineRule="auto"/>
            <w:ind w:left="0" w:firstLine="0"/>
            <w:jc w:val="both"/>
            <w:rPr>
              <w:rFonts w:cstheme="minorHAnsi"/>
              <w:sz w:val="24"/>
              <w:szCs w:val="24"/>
              <w:lang w:val="en-GB"/>
            </w:rPr>
          </w:pPr>
          <w:r w:rsidRPr="000D4A19">
            <w:rPr>
              <w:rFonts w:cs="Calibri"/>
              <w:sz w:val="24"/>
              <w:szCs w:val="24"/>
              <w:lang w:val="en-GB"/>
            </w:rPr>
            <w:t xml:space="preserve">The misuse of public resources is specifically banned in Article 7 of LCI, and includes the misuse of public rights, public salaries and public procurement processes. Depending on the circumstances it may also be a crime. </w:t>
          </w:r>
        </w:p>
        <w:p w14:paraId="4CE77360" w14:textId="77777777" w:rsidR="009919AC" w:rsidRPr="000D4A19" w:rsidRDefault="009919AC" w:rsidP="004B7CAB">
          <w:pPr>
            <w:tabs>
              <w:tab w:val="left" w:pos="709"/>
              <w:tab w:val="num" w:pos="8222"/>
            </w:tabs>
            <w:spacing w:after="0" w:line="240" w:lineRule="auto"/>
            <w:jc w:val="both"/>
            <w:rPr>
              <w:rFonts w:cstheme="minorHAnsi"/>
              <w:sz w:val="24"/>
              <w:szCs w:val="24"/>
              <w:lang w:val="en-GB"/>
            </w:rPr>
          </w:pPr>
          <w:r w:rsidRPr="000D4A19">
            <w:rPr>
              <w:rFonts w:cs="Calibri"/>
              <w:sz w:val="24"/>
              <w:szCs w:val="24"/>
              <w:lang w:val="en-GB"/>
            </w:rPr>
            <w:t xml:space="preserve"> </w:t>
          </w:r>
        </w:p>
        <w:p w14:paraId="66420955" w14:textId="77777777" w:rsidR="009919AC" w:rsidRPr="000D4A19" w:rsidRDefault="009919AC" w:rsidP="00F43323">
          <w:pPr>
            <w:pStyle w:val="Naslov3"/>
            <w:spacing w:before="0" w:line="240" w:lineRule="auto"/>
            <w:jc w:val="both"/>
            <w:rPr>
              <w:rFonts w:asciiTheme="minorHAnsi" w:hAnsiTheme="minorHAnsi" w:cstheme="minorHAnsi"/>
              <w:b w:val="0"/>
              <w:i/>
              <w:color w:val="auto"/>
              <w:sz w:val="24"/>
              <w:szCs w:val="24"/>
              <w:lang w:val="en-GB"/>
            </w:rPr>
          </w:pPr>
          <w:bookmarkStart w:id="96" w:name="_Toc4762865"/>
          <w:bookmarkStart w:id="97" w:name="_Toc25229308"/>
          <w:r w:rsidRPr="000D4A19">
            <w:rPr>
              <w:rFonts w:asciiTheme="minorHAnsi" w:hAnsiTheme="minorHAnsi" w:cstheme="minorHAnsi"/>
              <w:b w:val="0"/>
              <w:i/>
              <w:color w:val="auto"/>
              <w:sz w:val="24"/>
              <w:szCs w:val="24"/>
              <w:lang w:val="en-GB"/>
            </w:rPr>
            <w:t>Misuse of confidential information</w:t>
          </w:r>
          <w:bookmarkEnd w:id="96"/>
          <w:bookmarkEnd w:id="97"/>
        </w:p>
        <w:p w14:paraId="0E6CEB75" w14:textId="77777777" w:rsidR="009919AC" w:rsidRPr="000D4A19" w:rsidRDefault="009919AC" w:rsidP="00F43323">
          <w:pPr>
            <w:keepNext/>
            <w:keepLines/>
            <w:spacing w:after="0" w:line="240" w:lineRule="auto"/>
            <w:jc w:val="both"/>
            <w:rPr>
              <w:rFonts w:cstheme="minorHAnsi"/>
              <w:sz w:val="24"/>
              <w:szCs w:val="24"/>
              <w:lang w:val="en-GB"/>
            </w:rPr>
          </w:pPr>
        </w:p>
        <w:p w14:paraId="038EC563" w14:textId="38AA7432" w:rsidR="009919AC" w:rsidRPr="000D4A19" w:rsidRDefault="009919AC" w:rsidP="00F43323">
          <w:pPr>
            <w:keepNext/>
            <w:keepLines/>
            <w:numPr>
              <w:ilvl w:val="0"/>
              <w:numId w:val="1"/>
            </w:numPr>
            <w:tabs>
              <w:tab w:val="num" w:pos="681"/>
              <w:tab w:val="num" w:pos="1557"/>
              <w:tab w:val="num" w:pos="8222"/>
            </w:tabs>
            <w:spacing w:after="0" w:line="240" w:lineRule="auto"/>
            <w:ind w:left="0" w:firstLine="0"/>
            <w:jc w:val="both"/>
            <w:rPr>
              <w:lang w:val="en-GB"/>
            </w:rPr>
          </w:pPr>
          <w:r w:rsidRPr="000D4A19">
            <w:rPr>
              <w:rFonts w:cs="Calibri"/>
              <w:sz w:val="24"/>
              <w:szCs w:val="24"/>
              <w:lang w:val="en-GB"/>
            </w:rPr>
            <w:t>The LCI explicitly bans the use of privileged information about the activities of State bodies for personal gain (Article 7(1), indent h), LCI)</w:t>
          </w:r>
          <w:r w:rsidR="0037408E" w:rsidRPr="000D4A19">
            <w:rPr>
              <w:rFonts w:cs="Calibri"/>
              <w:sz w:val="24"/>
              <w:szCs w:val="24"/>
              <w:lang w:val="en-GB"/>
            </w:rPr>
            <w:t xml:space="preserve">. </w:t>
          </w:r>
          <w:r w:rsidRPr="000D4A19">
            <w:rPr>
              <w:rFonts w:cs="Calibri"/>
              <w:sz w:val="24"/>
              <w:szCs w:val="24"/>
              <w:lang w:val="en-GB"/>
            </w:rPr>
            <w:t>It can also be a criminal offence, pursuant to Article 300 of the Criminal Code (Disclosure of Official Secrets)</w:t>
          </w:r>
          <w:r w:rsidR="0037408E" w:rsidRPr="000D4A19">
            <w:rPr>
              <w:rFonts w:cs="Calibri"/>
              <w:sz w:val="24"/>
              <w:szCs w:val="24"/>
              <w:lang w:val="en-GB"/>
            </w:rPr>
            <w:t>, but only if the information disclosed is to be considered a</w:t>
          </w:r>
          <w:r w:rsidR="00077622" w:rsidRPr="000D4A19">
            <w:rPr>
              <w:rFonts w:cs="Calibri"/>
              <w:sz w:val="24"/>
              <w:szCs w:val="24"/>
              <w:lang w:val="en-GB"/>
            </w:rPr>
            <w:t>n official or</w:t>
          </w:r>
          <w:r w:rsidR="0037408E" w:rsidRPr="000D4A19">
            <w:rPr>
              <w:rFonts w:cs="Calibri"/>
              <w:sz w:val="24"/>
              <w:szCs w:val="24"/>
              <w:lang w:val="en-GB"/>
            </w:rPr>
            <w:t xml:space="preserve"> state secret. </w:t>
          </w:r>
        </w:p>
        <w:p w14:paraId="49AB876D" w14:textId="77777777" w:rsidR="0037408E" w:rsidRPr="000D4A19" w:rsidRDefault="0037408E" w:rsidP="0037408E">
          <w:pPr>
            <w:tabs>
              <w:tab w:val="num" w:pos="1557"/>
              <w:tab w:val="num" w:pos="8222"/>
            </w:tabs>
            <w:spacing w:after="0" w:line="240" w:lineRule="auto"/>
            <w:jc w:val="both"/>
            <w:rPr>
              <w:lang w:val="en-GB"/>
            </w:rPr>
          </w:pPr>
        </w:p>
        <w:p w14:paraId="173710C7" w14:textId="77777777" w:rsidR="009919AC" w:rsidRPr="000D4A19" w:rsidRDefault="009919AC" w:rsidP="004B7CAB">
          <w:pPr>
            <w:pStyle w:val="Naslov3"/>
            <w:keepNext w:val="0"/>
            <w:keepLines w:val="0"/>
            <w:spacing w:before="0" w:line="240" w:lineRule="auto"/>
            <w:jc w:val="both"/>
            <w:rPr>
              <w:rFonts w:asciiTheme="minorHAnsi" w:hAnsiTheme="minorHAnsi" w:cstheme="minorHAnsi"/>
              <w:b w:val="0"/>
              <w:i/>
              <w:color w:val="auto"/>
              <w:sz w:val="24"/>
              <w:szCs w:val="24"/>
              <w:lang w:val="en-GB"/>
            </w:rPr>
          </w:pPr>
          <w:bookmarkStart w:id="98" w:name="_Toc4762866"/>
          <w:bookmarkStart w:id="99" w:name="_Toc25229309"/>
          <w:r w:rsidRPr="000D4A19">
            <w:rPr>
              <w:rFonts w:asciiTheme="minorHAnsi" w:hAnsiTheme="minorHAnsi" w:cstheme="minorHAnsi"/>
              <w:b w:val="0"/>
              <w:i/>
              <w:color w:val="auto"/>
              <w:sz w:val="24"/>
              <w:szCs w:val="24"/>
              <w:lang w:val="en-GB"/>
            </w:rPr>
            <w:t>Post-employment restrictions</w:t>
          </w:r>
          <w:bookmarkEnd w:id="98"/>
          <w:bookmarkEnd w:id="99"/>
        </w:p>
        <w:p w14:paraId="368B6368" w14:textId="77777777" w:rsidR="009919AC" w:rsidRPr="000D4A19" w:rsidRDefault="009919AC" w:rsidP="004B7CAB">
          <w:pPr>
            <w:pStyle w:val="Odlomakpopisa"/>
            <w:spacing w:after="0" w:line="240" w:lineRule="auto"/>
            <w:ind w:left="0"/>
            <w:jc w:val="both"/>
            <w:rPr>
              <w:rFonts w:cstheme="minorHAnsi"/>
              <w:sz w:val="24"/>
              <w:szCs w:val="24"/>
              <w:lang w:val="en-GB"/>
            </w:rPr>
          </w:pPr>
        </w:p>
        <w:bookmarkEnd w:id="88"/>
        <w:bookmarkEnd w:id="89"/>
        <w:p w14:paraId="081E3B21" w14:textId="19830D71" w:rsidR="002964AA" w:rsidRPr="000D4A19" w:rsidRDefault="002964AA" w:rsidP="002964AA">
          <w:pPr>
            <w:numPr>
              <w:ilvl w:val="0"/>
              <w:numId w:val="1"/>
            </w:numPr>
            <w:tabs>
              <w:tab w:val="num" w:pos="681"/>
              <w:tab w:val="num" w:pos="1557"/>
              <w:tab w:val="num" w:pos="8222"/>
            </w:tabs>
            <w:spacing w:after="0" w:line="240" w:lineRule="auto"/>
            <w:ind w:left="0" w:firstLine="0"/>
            <w:jc w:val="both"/>
            <w:rPr>
              <w:rFonts w:cs="Calibri"/>
              <w:sz w:val="24"/>
              <w:szCs w:val="24"/>
              <w:lang w:val="en-GB"/>
            </w:rPr>
          </w:pPr>
          <w:r w:rsidRPr="000D4A19">
            <w:rPr>
              <w:rFonts w:cs="Calibri"/>
              <w:sz w:val="24"/>
              <w:szCs w:val="24"/>
              <w:lang w:val="en-GB"/>
            </w:rPr>
            <w:t>Within one year following the end of his/her</w:t>
          </w:r>
          <w:r w:rsidR="00BF0DB9" w:rsidRPr="000D4A19">
            <w:rPr>
              <w:rFonts w:cs="Calibri"/>
              <w:sz w:val="24"/>
              <w:szCs w:val="24"/>
              <w:lang w:val="en-GB"/>
            </w:rPr>
            <w:t xml:space="preserve"> </w:t>
          </w:r>
          <w:r w:rsidR="009553AB" w:rsidRPr="000D4A19">
            <w:rPr>
              <w:rFonts w:cs="Calibri"/>
              <w:sz w:val="24"/>
              <w:szCs w:val="24"/>
              <w:lang w:val="en-GB"/>
            </w:rPr>
            <w:t>term in office</w:t>
          </w:r>
          <w:r w:rsidRPr="000D4A19">
            <w:rPr>
              <w:rFonts w:cs="Calibri"/>
              <w:sz w:val="24"/>
              <w:szCs w:val="24"/>
              <w:lang w:val="en-GB"/>
            </w:rPr>
            <w:t xml:space="preserve">, an official covered by the provisions of the LCI </w:t>
          </w:r>
          <w:r w:rsidR="00850FB2" w:rsidRPr="000D4A19">
            <w:rPr>
              <w:rFonts w:cs="Calibri"/>
              <w:sz w:val="24"/>
              <w:szCs w:val="24"/>
              <w:lang w:val="en-GB"/>
            </w:rPr>
            <w:t>may not accept an appointment to /</w:t>
          </w:r>
          <w:r w:rsidRPr="000D4A19">
            <w:rPr>
              <w:rFonts w:cs="Calibri"/>
              <w:sz w:val="24"/>
              <w:szCs w:val="24"/>
              <w:lang w:val="en-GB"/>
            </w:rPr>
            <w:t xml:space="preserve"> e</w:t>
          </w:r>
          <w:r w:rsidR="00850FB2" w:rsidRPr="000D4A19">
            <w:rPr>
              <w:rFonts w:cs="Calibri"/>
              <w:sz w:val="24"/>
              <w:szCs w:val="24"/>
              <w:lang w:val="en-GB"/>
            </w:rPr>
            <w:t>lection to /</w:t>
          </w:r>
          <w:r w:rsidRPr="000D4A19">
            <w:rPr>
              <w:rFonts w:cs="Calibri"/>
              <w:sz w:val="24"/>
              <w:szCs w:val="24"/>
              <w:lang w:val="en-GB"/>
            </w:rPr>
            <w:t xml:space="preserve"> employment in a legal person with which the body in which s/he exercised </w:t>
          </w:r>
          <w:r w:rsidR="00850FB2" w:rsidRPr="000D4A19">
            <w:rPr>
              <w:rFonts w:cs="Calibri"/>
              <w:sz w:val="24"/>
              <w:szCs w:val="24"/>
              <w:lang w:val="en-GB"/>
            </w:rPr>
            <w:t>public office (Article 20, LCI) had a bus</w:t>
          </w:r>
          <w:r w:rsidR="009C1317" w:rsidRPr="000D4A19">
            <w:rPr>
              <w:rFonts w:cs="Calibri"/>
              <w:sz w:val="24"/>
              <w:szCs w:val="24"/>
              <w:lang w:val="en-GB"/>
            </w:rPr>
            <w:t>iness relationship. This cooling-off period</w:t>
          </w:r>
          <w:r w:rsidR="00850FB2" w:rsidRPr="000D4A19">
            <w:rPr>
              <w:rFonts w:cs="Calibri"/>
              <w:sz w:val="24"/>
              <w:szCs w:val="24"/>
              <w:lang w:val="en-GB"/>
            </w:rPr>
            <w:t xml:space="preserve"> is also applicable </w:t>
          </w:r>
          <w:r w:rsidR="00651FC7" w:rsidRPr="000D4A19">
            <w:rPr>
              <w:rFonts w:cs="Calibri"/>
              <w:sz w:val="24"/>
              <w:szCs w:val="24"/>
              <w:lang w:val="en-GB"/>
            </w:rPr>
            <w:t>if</w:t>
          </w:r>
          <w:r w:rsidR="00BF0DB9" w:rsidRPr="000D4A19">
            <w:rPr>
              <w:rFonts w:cs="Calibri"/>
              <w:sz w:val="24"/>
              <w:szCs w:val="24"/>
              <w:lang w:val="en-GB"/>
            </w:rPr>
            <w:t>,</w:t>
          </w:r>
          <w:r w:rsidR="00651FC7" w:rsidRPr="000D4A19">
            <w:rPr>
              <w:rFonts w:cs="Calibri"/>
              <w:sz w:val="24"/>
              <w:szCs w:val="24"/>
              <w:lang w:val="en-GB"/>
            </w:rPr>
            <w:t xml:space="preserve"> from the circumstances of the case</w:t>
          </w:r>
          <w:r w:rsidR="00BF0DB9" w:rsidRPr="000D4A19">
            <w:rPr>
              <w:rFonts w:cs="Calibri"/>
              <w:sz w:val="24"/>
              <w:szCs w:val="24"/>
              <w:lang w:val="en-GB"/>
            </w:rPr>
            <w:t>,</w:t>
          </w:r>
          <w:r w:rsidR="00651FC7" w:rsidRPr="000D4A19">
            <w:rPr>
              <w:rFonts w:cs="Calibri"/>
              <w:sz w:val="24"/>
              <w:szCs w:val="24"/>
              <w:lang w:val="en-GB"/>
            </w:rPr>
            <w:t xml:space="preserve"> it is clear that the public body concerned intends to </w:t>
          </w:r>
          <w:r w:rsidRPr="000D4A19">
            <w:rPr>
              <w:rFonts w:cs="Calibri"/>
              <w:sz w:val="24"/>
              <w:szCs w:val="24"/>
              <w:lang w:val="en-GB"/>
            </w:rPr>
            <w:t>establish a business relation</w:t>
          </w:r>
          <w:r w:rsidR="0037408E" w:rsidRPr="000D4A19">
            <w:rPr>
              <w:rFonts w:cs="Calibri"/>
              <w:sz w:val="24"/>
              <w:szCs w:val="24"/>
              <w:lang w:val="en-GB"/>
            </w:rPr>
            <w:t xml:space="preserve"> in the near future with such a legal person</w:t>
          </w:r>
          <w:r w:rsidRPr="000D4A19">
            <w:rPr>
              <w:rFonts w:cs="Calibri"/>
              <w:sz w:val="24"/>
              <w:szCs w:val="24"/>
              <w:lang w:val="en-GB"/>
            </w:rPr>
            <w:t xml:space="preserve">. The Commission may give approval for the appointment, election or employment of the (former) official in question, if it has been established that there is no conflict of interest. </w:t>
          </w:r>
        </w:p>
        <w:p w14:paraId="0ACF0B2D" w14:textId="77777777" w:rsidR="002964AA" w:rsidRPr="000D4A19" w:rsidRDefault="002964AA" w:rsidP="002964AA">
          <w:pPr>
            <w:tabs>
              <w:tab w:val="num" w:pos="8222"/>
            </w:tabs>
            <w:spacing w:after="0" w:line="240" w:lineRule="auto"/>
            <w:jc w:val="both"/>
            <w:rPr>
              <w:rFonts w:cstheme="minorHAnsi"/>
              <w:sz w:val="24"/>
              <w:szCs w:val="24"/>
              <w:highlight w:val="yellow"/>
              <w:lang w:val="en-GB"/>
            </w:rPr>
          </w:pPr>
        </w:p>
        <w:p w14:paraId="1C7160B4" w14:textId="048F1BB3" w:rsidR="009919AC" w:rsidRPr="000D4A19" w:rsidRDefault="00850FB2" w:rsidP="002964AA">
          <w:pPr>
            <w:numPr>
              <w:ilvl w:val="0"/>
              <w:numId w:val="1"/>
            </w:numPr>
            <w:tabs>
              <w:tab w:val="num" w:pos="681"/>
              <w:tab w:val="num" w:pos="1557"/>
              <w:tab w:val="num" w:pos="8222"/>
            </w:tabs>
            <w:spacing w:after="0" w:line="240" w:lineRule="auto"/>
            <w:ind w:left="0" w:firstLine="0"/>
            <w:jc w:val="both"/>
            <w:rPr>
              <w:rFonts w:cs="Calibri"/>
              <w:sz w:val="24"/>
              <w:szCs w:val="24"/>
              <w:lang w:val="en-GB"/>
            </w:rPr>
          </w:pPr>
          <w:r w:rsidRPr="000D4A19">
            <w:rPr>
              <w:rFonts w:cs="Calibri"/>
              <w:sz w:val="24"/>
              <w:szCs w:val="24"/>
              <w:lang w:val="en-GB"/>
            </w:rPr>
            <w:t>In addition, v</w:t>
          </w:r>
          <w:r w:rsidR="009919AC" w:rsidRPr="000D4A19">
            <w:rPr>
              <w:rFonts w:cs="Calibri"/>
              <w:sz w:val="24"/>
              <w:szCs w:val="24"/>
              <w:lang w:val="en-GB"/>
            </w:rPr>
            <w:t>arious restrictions of the LCI continue to apply for one year after the official duties end (Article 20, paragraph 3, LCI), namely the prohibitions on influencing public decision-making processes (Article 7, LCI), membership in management and super</w:t>
          </w:r>
          <w:r w:rsidRPr="000D4A19">
            <w:rPr>
              <w:rFonts w:cs="Calibri"/>
              <w:sz w:val="24"/>
              <w:szCs w:val="24"/>
              <w:lang w:val="en-GB"/>
            </w:rPr>
            <w:t>visory boards (Article 14, LCI),</w:t>
          </w:r>
          <w:r w:rsidR="009919AC" w:rsidRPr="000D4A19">
            <w:rPr>
              <w:rFonts w:cs="Calibri"/>
              <w:sz w:val="24"/>
              <w:szCs w:val="24"/>
              <w:lang w:val="en-GB"/>
            </w:rPr>
            <w:t xml:space="preserve"> membership and shares in companies (Article 17, LCI), as well as the obligation to report income and assets (Articles 8 and 9, LCI). </w:t>
          </w:r>
        </w:p>
        <w:p w14:paraId="44979DA6" w14:textId="77777777" w:rsidR="009919AC" w:rsidRPr="000D4A19" w:rsidRDefault="009919AC" w:rsidP="004B7CAB">
          <w:pPr>
            <w:tabs>
              <w:tab w:val="num" w:pos="8222"/>
            </w:tabs>
            <w:spacing w:after="0" w:line="240" w:lineRule="auto"/>
            <w:jc w:val="both"/>
            <w:rPr>
              <w:rFonts w:cs="Calibri"/>
              <w:sz w:val="24"/>
              <w:szCs w:val="24"/>
              <w:lang w:val="en-GB"/>
            </w:rPr>
          </w:pPr>
        </w:p>
        <w:p w14:paraId="78F0995A" w14:textId="596EC15B" w:rsidR="009919AC" w:rsidRPr="000D4A19" w:rsidRDefault="009919AC" w:rsidP="004B7CAB">
          <w:pPr>
            <w:numPr>
              <w:ilvl w:val="0"/>
              <w:numId w:val="1"/>
            </w:numPr>
            <w:tabs>
              <w:tab w:val="num" w:pos="681"/>
              <w:tab w:val="num" w:pos="1557"/>
              <w:tab w:val="num" w:pos="8222"/>
            </w:tabs>
            <w:spacing w:after="0" w:line="240" w:lineRule="auto"/>
            <w:ind w:left="0" w:firstLine="0"/>
            <w:jc w:val="both"/>
            <w:rPr>
              <w:rFonts w:cs="Calibri"/>
              <w:sz w:val="24"/>
              <w:szCs w:val="24"/>
              <w:lang w:val="en-GB"/>
            </w:rPr>
          </w:pPr>
          <w:r w:rsidRPr="000D4A19">
            <w:rPr>
              <w:rFonts w:cs="Calibri"/>
              <w:sz w:val="24"/>
              <w:szCs w:val="24"/>
              <w:lang w:val="en-GB"/>
            </w:rPr>
            <w:t>Failure by the former</w:t>
          </w:r>
          <w:r w:rsidR="00850FB2" w:rsidRPr="000D4A19">
            <w:rPr>
              <w:rFonts w:cs="Calibri"/>
              <w:sz w:val="24"/>
              <w:szCs w:val="24"/>
              <w:lang w:val="en-GB"/>
            </w:rPr>
            <w:t xml:space="preserve"> public official to observe the obligations </w:t>
          </w:r>
          <w:r w:rsidRPr="000D4A19">
            <w:rPr>
              <w:rFonts w:cs="Calibri"/>
              <w:sz w:val="24"/>
              <w:szCs w:val="24"/>
              <w:lang w:val="en-GB"/>
            </w:rPr>
            <w:t>entails sanctions consisting of a warning, suspension of salary from 2</w:t>
          </w:r>
          <w:r w:rsidR="00BF0DB9" w:rsidRPr="000D4A19">
            <w:rPr>
              <w:rFonts w:cs="Calibri"/>
              <w:sz w:val="24"/>
              <w:szCs w:val="24"/>
              <w:lang w:val="en-GB"/>
            </w:rPr>
            <w:t>-</w:t>
          </w:r>
          <w:r w:rsidRPr="000D4A19">
            <w:rPr>
              <w:rFonts w:cs="Calibri"/>
              <w:sz w:val="24"/>
              <w:szCs w:val="24"/>
              <w:lang w:val="en-GB"/>
            </w:rPr>
            <w:t>000 HR (approx. 270 EUR) to 40</w:t>
          </w:r>
          <w:r w:rsidR="00BF0DB9" w:rsidRPr="000D4A19">
            <w:rPr>
              <w:rFonts w:cs="Calibri"/>
              <w:sz w:val="24"/>
              <w:szCs w:val="24"/>
              <w:lang w:val="en-GB"/>
            </w:rPr>
            <w:t>-</w:t>
          </w:r>
          <w:r w:rsidRPr="000D4A19">
            <w:rPr>
              <w:rFonts w:cs="Calibri"/>
              <w:sz w:val="24"/>
              <w:szCs w:val="24"/>
              <w:lang w:val="en-GB"/>
            </w:rPr>
            <w:t>000 HRK (approx. 5</w:t>
          </w:r>
          <w:r w:rsidR="00BF0DB9" w:rsidRPr="000D4A19">
            <w:rPr>
              <w:rFonts w:cs="Calibri"/>
              <w:sz w:val="24"/>
              <w:szCs w:val="24"/>
              <w:lang w:val="en-GB"/>
            </w:rPr>
            <w:t>-</w:t>
          </w:r>
          <w:r w:rsidRPr="000D4A19">
            <w:rPr>
              <w:rFonts w:cs="Calibri"/>
              <w:sz w:val="24"/>
              <w:szCs w:val="24"/>
              <w:lang w:val="en-GB"/>
            </w:rPr>
            <w:t>400 EUR), and publication of the sanctioning decision.</w:t>
          </w:r>
          <w:r w:rsidR="00850FB2" w:rsidRPr="000D4A19">
            <w:rPr>
              <w:rFonts w:cs="Calibri"/>
              <w:sz w:val="24"/>
              <w:szCs w:val="24"/>
              <w:lang w:val="en-GB"/>
            </w:rPr>
            <w:t xml:space="preserve"> </w:t>
          </w:r>
          <w:r w:rsidRPr="000D4A19">
            <w:rPr>
              <w:rFonts w:cs="Calibri"/>
              <w:sz w:val="24"/>
              <w:szCs w:val="24"/>
              <w:lang w:val="en-GB"/>
            </w:rPr>
            <w:t>Failure by the responsible person in the business entity to respect a cooling-off period consist of fines from 5</w:t>
          </w:r>
          <w:r w:rsidR="00BF0DB9" w:rsidRPr="000D4A19">
            <w:rPr>
              <w:rFonts w:cs="Calibri"/>
              <w:sz w:val="24"/>
              <w:szCs w:val="24"/>
              <w:lang w:val="en-GB"/>
            </w:rPr>
            <w:t>-</w:t>
          </w:r>
          <w:r w:rsidRPr="000D4A19">
            <w:rPr>
              <w:rFonts w:cs="Calibri"/>
              <w:sz w:val="24"/>
              <w:szCs w:val="24"/>
              <w:lang w:val="en-GB"/>
            </w:rPr>
            <w:t>000 HRK (approx. 675 EUR) to 50</w:t>
          </w:r>
          <w:r w:rsidR="00BF0DB9" w:rsidRPr="000D4A19">
            <w:rPr>
              <w:rFonts w:cs="Calibri"/>
              <w:sz w:val="24"/>
              <w:szCs w:val="24"/>
              <w:lang w:val="en-GB"/>
            </w:rPr>
            <w:t xml:space="preserve"> </w:t>
          </w:r>
          <w:r w:rsidRPr="000D4A19">
            <w:rPr>
              <w:rFonts w:cs="Calibri"/>
              <w:sz w:val="24"/>
              <w:szCs w:val="24"/>
              <w:lang w:val="en-GB"/>
            </w:rPr>
            <w:t>000 HRK (approx. 6</w:t>
          </w:r>
          <w:r w:rsidR="00BF0DB9" w:rsidRPr="000D4A19">
            <w:rPr>
              <w:rFonts w:cs="Calibri"/>
              <w:sz w:val="24"/>
              <w:szCs w:val="24"/>
              <w:lang w:val="en-GB"/>
            </w:rPr>
            <w:t xml:space="preserve"> </w:t>
          </w:r>
          <w:r w:rsidRPr="000D4A19">
            <w:rPr>
              <w:rFonts w:cs="Calibri"/>
              <w:sz w:val="24"/>
              <w:szCs w:val="24"/>
              <w:lang w:val="en-GB"/>
            </w:rPr>
            <w:t>750 EUR), confiscation of the illegally acquired sums and professional bans of up to one year. The level of sanctions is considerably higher for the business entity itself which enters into a business relation with the former official during the cooling-off period, with fines ranging up to 1</w:t>
          </w:r>
          <w:r w:rsidR="00BF0DB9" w:rsidRPr="000D4A19">
            <w:rPr>
              <w:rFonts w:cs="Calibri"/>
              <w:sz w:val="24"/>
              <w:szCs w:val="24"/>
              <w:lang w:val="en-GB"/>
            </w:rPr>
            <w:t xml:space="preserve"> </w:t>
          </w:r>
          <w:r w:rsidRPr="000D4A19">
            <w:rPr>
              <w:rFonts w:cs="Calibri"/>
              <w:sz w:val="24"/>
              <w:szCs w:val="24"/>
              <w:lang w:val="en-GB"/>
            </w:rPr>
            <w:t>000</w:t>
          </w:r>
          <w:r w:rsidR="00BF0DB9" w:rsidRPr="000D4A19">
            <w:rPr>
              <w:rFonts w:cs="Calibri"/>
              <w:sz w:val="24"/>
              <w:szCs w:val="24"/>
              <w:lang w:val="en-GB"/>
            </w:rPr>
            <w:t xml:space="preserve"> </w:t>
          </w:r>
          <w:r w:rsidRPr="000D4A19">
            <w:rPr>
              <w:rFonts w:cs="Calibri"/>
              <w:sz w:val="24"/>
              <w:szCs w:val="24"/>
              <w:lang w:val="en-GB"/>
            </w:rPr>
            <w:t>000 HRK (approx. 135</w:t>
          </w:r>
          <w:r w:rsidR="00BF0DB9" w:rsidRPr="000D4A19">
            <w:rPr>
              <w:rFonts w:cs="Calibri"/>
              <w:sz w:val="24"/>
              <w:szCs w:val="24"/>
              <w:lang w:val="en-GB"/>
            </w:rPr>
            <w:t xml:space="preserve"> </w:t>
          </w:r>
          <w:r w:rsidRPr="000D4A19">
            <w:rPr>
              <w:rFonts w:cs="Calibri"/>
              <w:sz w:val="24"/>
              <w:szCs w:val="24"/>
              <w:lang w:val="en-GB"/>
            </w:rPr>
            <w:t>000 EUR).</w:t>
          </w:r>
        </w:p>
        <w:p w14:paraId="4F6CC2E9" w14:textId="77777777" w:rsidR="00A02888" w:rsidRPr="000D4A19" w:rsidRDefault="00A02888" w:rsidP="00A02888">
          <w:pPr>
            <w:tabs>
              <w:tab w:val="num" w:pos="3403"/>
              <w:tab w:val="num" w:pos="8222"/>
            </w:tabs>
            <w:spacing w:after="0" w:line="240" w:lineRule="auto"/>
            <w:jc w:val="both"/>
            <w:rPr>
              <w:rFonts w:cs="Calibri"/>
              <w:sz w:val="24"/>
              <w:szCs w:val="24"/>
              <w:lang w:val="en-GB"/>
            </w:rPr>
          </w:pPr>
        </w:p>
        <w:p w14:paraId="1B6B5609" w14:textId="3C252E0A" w:rsidR="00A02888" w:rsidRPr="000D4A19" w:rsidRDefault="00A02888" w:rsidP="004B7CAB">
          <w:pPr>
            <w:numPr>
              <w:ilvl w:val="0"/>
              <w:numId w:val="1"/>
            </w:numPr>
            <w:tabs>
              <w:tab w:val="num" w:pos="681"/>
              <w:tab w:val="num" w:pos="1557"/>
              <w:tab w:val="num" w:pos="8222"/>
            </w:tabs>
            <w:spacing w:after="0" w:line="240" w:lineRule="auto"/>
            <w:ind w:left="0" w:firstLine="0"/>
            <w:jc w:val="both"/>
            <w:rPr>
              <w:rFonts w:cs="Calibri"/>
              <w:b/>
              <w:sz w:val="24"/>
              <w:szCs w:val="24"/>
              <w:lang w:val="en-GB"/>
            </w:rPr>
          </w:pPr>
          <w:r w:rsidRPr="000D4A19">
            <w:rPr>
              <w:rFonts w:cs="Calibri"/>
              <w:sz w:val="24"/>
              <w:szCs w:val="24"/>
              <w:lang w:val="en-GB"/>
            </w:rPr>
            <w:t>As indicated before, the GET was made aware of certain legislative initiatives to</w:t>
          </w:r>
          <w:r w:rsidR="00E347EF">
            <w:rPr>
              <w:rFonts w:cs="Calibri"/>
              <w:sz w:val="24"/>
              <w:szCs w:val="24"/>
              <w:lang w:val="en-GB"/>
            </w:rPr>
            <w:t xml:space="preserve"> fu</w:t>
          </w:r>
          <w:r w:rsidR="00023F7D">
            <w:rPr>
              <w:rFonts w:cs="Calibri"/>
              <w:sz w:val="24"/>
              <w:szCs w:val="24"/>
              <w:lang w:val="en-GB"/>
            </w:rPr>
            <w:t>r</w:t>
          </w:r>
          <w:r w:rsidR="00E347EF">
            <w:rPr>
              <w:rFonts w:cs="Calibri"/>
              <w:sz w:val="24"/>
              <w:szCs w:val="24"/>
              <w:lang w:val="en-GB"/>
            </w:rPr>
            <w:t>ther restrict</w:t>
          </w:r>
          <w:r w:rsidR="009C1317" w:rsidRPr="000D4A19">
            <w:rPr>
              <w:rFonts w:cs="Calibri"/>
              <w:sz w:val="24"/>
              <w:szCs w:val="24"/>
              <w:lang w:val="en-GB"/>
            </w:rPr>
            <w:t xml:space="preserve"> the cooling-off period from the LCI.</w:t>
          </w:r>
          <w:r w:rsidR="004A113A" w:rsidRPr="000D4A19">
            <w:rPr>
              <w:rStyle w:val="Referencafusnote"/>
              <w:rFonts w:cs="Calibri"/>
              <w:sz w:val="24"/>
              <w:szCs w:val="24"/>
              <w:lang w:val="en-GB"/>
            </w:rPr>
            <w:footnoteReference w:id="45"/>
          </w:r>
          <w:r w:rsidR="009C1317" w:rsidRPr="000D4A19">
            <w:rPr>
              <w:rFonts w:cs="Calibri"/>
              <w:sz w:val="24"/>
              <w:szCs w:val="24"/>
              <w:lang w:val="en-GB"/>
            </w:rPr>
            <w:t xml:space="preserve"> The GET </w:t>
          </w:r>
          <w:r w:rsidR="00042CF0" w:rsidRPr="000D4A19">
            <w:rPr>
              <w:rFonts w:cs="Calibri"/>
              <w:sz w:val="24"/>
              <w:szCs w:val="24"/>
              <w:lang w:val="en-GB"/>
            </w:rPr>
            <w:t xml:space="preserve">welcomes that </w:t>
          </w:r>
          <w:r w:rsidR="009C1317" w:rsidRPr="000D4A19">
            <w:rPr>
              <w:rFonts w:cs="Calibri"/>
              <w:sz w:val="24"/>
              <w:szCs w:val="24"/>
              <w:lang w:val="en-GB"/>
            </w:rPr>
            <w:t>this initiative</w:t>
          </w:r>
          <w:r w:rsidR="00EC5113" w:rsidRPr="000D4A19">
            <w:rPr>
              <w:rFonts w:cs="Calibri"/>
              <w:sz w:val="24"/>
              <w:szCs w:val="24"/>
              <w:lang w:val="en-GB"/>
            </w:rPr>
            <w:t xml:space="preserve"> is apparently no longer being pursued, in particular as </w:t>
          </w:r>
          <w:r w:rsidR="006E1DCA" w:rsidRPr="000D4A19">
            <w:rPr>
              <w:rFonts w:cs="Calibri"/>
              <w:sz w:val="24"/>
              <w:szCs w:val="24"/>
              <w:lang w:val="en-GB"/>
            </w:rPr>
            <w:t xml:space="preserve">the GET finds the current cooling-off period </w:t>
          </w:r>
          <w:r w:rsidR="00042CF0" w:rsidRPr="000D4A19">
            <w:rPr>
              <w:rFonts w:cs="Calibri"/>
              <w:sz w:val="24"/>
              <w:szCs w:val="24"/>
              <w:lang w:val="en-GB"/>
            </w:rPr>
            <w:t xml:space="preserve">already </w:t>
          </w:r>
          <w:r w:rsidR="006E1DCA" w:rsidRPr="000D4A19">
            <w:rPr>
              <w:rFonts w:cs="Calibri"/>
              <w:sz w:val="24"/>
              <w:szCs w:val="24"/>
              <w:lang w:val="en-GB"/>
            </w:rPr>
            <w:t xml:space="preserve">too limited in scope, given that it is restricted to legal persons with which the public body had a business relationship. In </w:t>
          </w:r>
          <w:r w:rsidR="00BF0DB9" w:rsidRPr="000D4A19">
            <w:rPr>
              <w:rFonts w:cs="Calibri"/>
              <w:sz w:val="24"/>
              <w:szCs w:val="24"/>
              <w:lang w:val="en-GB"/>
            </w:rPr>
            <w:t xml:space="preserve">the </w:t>
          </w:r>
          <w:r w:rsidR="006E1DCA" w:rsidRPr="000D4A19">
            <w:rPr>
              <w:rFonts w:cs="Calibri"/>
              <w:sz w:val="24"/>
              <w:szCs w:val="24"/>
              <w:lang w:val="en-GB"/>
            </w:rPr>
            <w:t xml:space="preserve">view of the GET, the post-employment restrictions should go further to cover </w:t>
          </w:r>
          <w:r w:rsidR="0006643C" w:rsidRPr="000D4A19">
            <w:rPr>
              <w:rFonts w:cs="Calibri"/>
              <w:sz w:val="24"/>
              <w:szCs w:val="24"/>
              <w:lang w:val="en-GB"/>
            </w:rPr>
            <w:t>other potential conflicts of interest resulting from PTEFs seeking or having sought new employment</w:t>
          </w:r>
          <w:r w:rsidR="006E1DCA" w:rsidRPr="000D4A19">
            <w:rPr>
              <w:rFonts w:cs="Calibri"/>
              <w:sz w:val="24"/>
              <w:szCs w:val="24"/>
              <w:lang w:val="en-GB"/>
            </w:rPr>
            <w:t>.</w:t>
          </w:r>
          <w:r w:rsidR="00405011" w:rsidRPr="000D4A19">
            <w:rPr>
              <w:rFonts w:cs="Calibri"/>
              <w:sz w:val="24"/>
              <w:szCs w:val="24"/>
              <w:lang w:val="en-GB"/>
            </w:rPr>
            <w:t xml:space="preserve"> Similarly, for certain positions a cooling-off period of one year may be too short.</w:t>
          </w:r>
          <w:r w:rsidR="0006643C" w:rsidRPr="000D4A19">
            <w:rPr>
              <w:rFonts w:cs="Calibri"/>
              <w:sz w:val="24"/>
              <w:szCs w:val="24"/>
              <w:lang w:val="en-GB"/>
            </w:rPr>
            <w:t xml:space="preserve"> </w:t>
          </w:r>
          <w:r w:rsidR="00D33AD2" w:rsidRPr="000D4A19">
            <w:rPr>
              <w:rFonts w:cs="Calibri"/>
              <w:sz w:val="24"/>
              <w:szCs w:val="24"/>
              <w:lang w:val="en-GB"/>
            </w:rPr>
            <w:t xml:space="preserve">The GET finds it advisable </w:t>
          </w:r>
          <w:r w:rsidR="0006643C" w:rsidRPr="000D4A19">
            <w:rPr>
              <w:rFonts w:cs="Calibri"/>
              <w:sz w:val="24"/>
              <w:szCs w:val="24"/>
              <w:lang w:val="en-GB"/>
            </w:rPr>
            <w:t xml:space="preserve">to give the Commission for the Prevention of Conflicts of Interest authority to </w:t>
          </w:r>
          <w:r w:rsidR="009553AB" w:rsidRPr="000D4A19">
            <w:rPr>
              <w:rFonts w:cs="Calibri"/>
              <w:sz w:val="24"/>
              <w:szCs w:val="24"/>
              <w:lang w:val="en-GB"/>
            </w:rPr>
            <w:t xml:space="preserve">grant or </w:t>
          </w:r>
          <w:r w:rsidR="00EC5113" w:rsidRPr="000D4A19">
            <w:rPr>
              <w:rFonts w:cs="Calibri"/>
              <w:sz w:val="24"/>
              <w:szCs w:val="24"/>
              <w:lang w:val="en-GB"/>
            </w:rPr>
            <w:t>withhold</w:t>
          </w:r>
          <w:r w:rsidR="009553AB" w:rsidRPr="000D4A19">
            <w:rPr>
              <w:rFonts w:cs="Calibri"/>
              <w:sz w:val="24"/>
              <w:szCs w:val="24"/>
              <w:lang w:val="en-GB"/>
            </w:rPr>
            <w:t xml:space="preserve"> </w:t>
          </w:r>
          <w:r w:rsidR="0006643C" w:rsidRPr="000D4A19">
            <w:rPr>
              <w:rFonts w:cs="Calibri"/>
              <w:sz w:val="24"/>
              <w:szCs w:val="24"/>
              <w:lang w:val="en-GB"/>
            </w:rPr>
            <w:t>approval for the appointment, election or employment of the (former) official in question for a broader range of employment opportunities tha</w:t>
          </w:r>
          <w:r w:rsidR="00032BCC" w:rsidRPr="000D4A19">
            <w:rPr>
              <w:rFonts w:cs="Calibri"/>
              <w:sz w:val="24"/>
              <w:szCs w:val="24"/>
              <w:lang w:val="en-GB"/>
            </w:rPr>
            <w:t>n</w:t>
          </w:r>
          <w:r w:rsidR="0006643C" w:rsidRPr="000D4A19">
            <w:rPr>
              <w:rFonts w:cs="Calibri"/>
              <w:sz w:val="24"/>
              <w:szCs w:val="24"/>
              <w:lang w:val="en-GB"/>
            </w:rPr>
            <w:t xml:space="preserve"> just legal persons with which the public body concerned has had a business relationship</w:t>
          </w:r>
          <w:r w:rsidR="00F963B1" w:rsidRPr="000D4A19">
            <w:rPr>
              <w:rFonts w:cs="Calibri"/>
              <w:sz w:val="24"/>
              <w:szCs w:val="24"/>
              <w:lang w:val="en-GB"/>
            </w:rPr>
            <w:t xml:space="preserve"> and, in certain instances, beyond a period of one year</w:t>
          </w:r>
          <w:r w:rsidR="0006643C" w:rsidRPr="000D4A19">
            <w:rPr>
              <w:rFonts w:cs="Calibri"/>
              <w:sz w:val="24"/>
              <w:szCs w:val="24"/>
              <w:lang w:val="en-GB"/>
            </w:rPr>
            <w:t xml:space="preserve">. </w:t>
          </w:r>
          <w:r w:rsidR="006E1DCA" w:rsidRPr="000D4A19">
            <w:rPr>
              <w:rFonts w:cs="Calibri"/>
              <w:b/>
              <w:sz w:val="24"/>
              <w:szCs w:val="24"/>
              <w:lang w:val="en-GB"/>
            </w:rPr>
            <w:t xml:space="preserve">Consequently, GRECO </w:t>
          </w:r>
          <w:bookmarkStart w:id="100" w:name="_Hlk22745589"/>
          <w:r w:rsidR="006E1DCA" w:rsidRPr="000D4A19">
            <w:rPr>
              <w:rFonts w:cs="Calibri"/>
              <w:b/>
              <w:sz w:val="24"/>
              <w:szCs w:val="24"/>
              <w:lang w:val="en-GB"/>
            </w:rPr>
            <w:t xml:space="preserve">recommends </w:t>
          </w:r>
          <w:bookmarkStart w:id="101" w:name="_Hlk26535734"/>
          <w:r w:rsidR="006E1DCA" w:rsidRPr="000D4A19">
            <w:rPr>
              <w:rFonts w:cs="Calibri"/>
              <w:b/>
              <w:sz w:val="24"/>
              <w:szCs w:val="24"/>
              <w:lang w:val="en-GB"/>
            </w:rPr>
            <w:t xml:space="preserve">that post-employment restrictions be broadened in </w:t>
          </w:r>
          <w:r w:rsidR="003B78AE">
            <w:rPr>
              <w:rFonts w:cs="Calibri"/>
              <w:b/>
              <w:sz w:val="24"/>
              <w:szCs w:val="24"/>
              <w:lang w:val="en-GB"/>
            </w:rPr>
            <w:t xml:space="preserve">scope in </w:t>
          </w:r>
          <w:r w:rsidR="006E1DCA" w:rsidRPr="000D4A19">
            <w:rPr>
              <w:rFonts w:cs="Calibri"/>
              <w:b/>
              <w:sz w:val="24"/>
              <w:szCs w:val="24"/>
              <w:lang w:val="en-GB"/>
            </w:rPr>
            <w:t>respect of persons with top executive functions</w:t>
          </w:r>
          <w:bookmarkEnd w:id="101"/>
          <w:r w:rsidR="00510FEF" w:rsidRPr="000D4A19">
            <w:rPr>
              <w:rFonts w:cs="Calibri"/>
              <w:b/>
              <w:sz w:val="24"/>
              <w:szCs w:val="24"/>
              <w:lang w:val="en-GB"/>
            </w:rPr>
            <w:t>.</w:t>
          </w:r>
        </w:p>
        <w:bookmarkEnd w:id="100"/>
        <w:p w14:paraId="41381499" w14:textId="77777777" w:rsidR="009919AC" w:rsidRPr="000D4A19" w:rsidRDefault="009919AC" w:rsidP="004B7CAB">
          <w:pPr>
            <w:pStyle w:val="Odlomakpopisa"/>
            <w:spacing w:after="0" w:line="240" w:lineRule="auto"/>
            <w:ind w:left="0"/>
            <w:jc w:val="both"/>
            <w:rPr>
              <w:rFonts w:cstheme="minorHAnsi"/>
              <w:sz w:val="24"/>
              <w:szCs w:val="24"/>
              <w:lang w:val="en-GB"/>
            </w:rPr>
          </w:pPr>
        </w:p>
        <w:p w14:paraId="1F7AFD30" w14:textId="77777777" w:rsidR="009919AC" w:rsidRPr="000D4A19" w:rsidRDefault="009919AC" w:rsidP="004B7CAB">
          <w:pPr>
            <w:pStyle w:val="Naslov2"/>
            <w:keepNext w:val="0"/>
            <w:keepLines w:val="0"/>
            <w:tabs>
              <w:tab w:val="left" w:pos="709"/>
            </w:tabs>
            <w:spacing w:before="0" w:line="240" w:lineRule="auto"/>
            <w:jc w:val="both"/>
            <w:rPr>
              <w:rFonts w:asciiTheme="minorHAnsi" w:hAnsiTheme="minorHAnsi" w:cstheme="minorHAnsi"/>
              <w:color w:val="auto"/>
              <w:sz w:val="24"/>
              <w:szCs w:val="24"/>
              <w:u w:val="single"/>
              <w:lang w:val="en-GB"/>
            </w:rPr>
          </w:pPr>
          <w:bookmarkStart w:id="102" w:name="_Toc342554261"/>
          <w:bookmarkStart w:id="103" w:name="_Toc342640936"/>
          <w:bookmarkStart w:id="104" w:name="_Toc4762867"/>
          <w:bookmarkStart w:id="105" w:name="_Toc25229310"/>
          <w:r w:rsidRPr="000D4A19">
            <w:rPr>
              <w:rFonts w:asciiTheme="minorHAnsi" w:hAnsiTheme="minorHAnsi" w:cstheme="minorHAnsi"/>
              <w:color w:val="auto"/>
              <w:sz w:val="24"/>
              <w:szCs w:val="24"/>
              <w:u w:val="single"/>
              <w:lang w:val="en-GB"/>
            </w:rPr>
            <w:t>Declaration of assets, income, liabilities and interests</w:t>
          </w:r>
          <w:bookmarkEnd w:id="102"/>
          <w:bookmarkEnd w:id="103"/>
          <w:bookmarkEnd w:id="104"/>
          <w:bookmarkEnd w:id="105"/>
        </w:p>
        <w:p w14:paraId="4C4FD87A" w14:textId="77777777" w:rsidR="009919AC" w:rsidRPr="000D4A19" w:rsidRDefault="009919AC" w:rsidP="004B7CAB">
          <w:pPr>
            <w:pStyle w:val="Naslov2"/>
            <w:keepNext w:val="0"/>
            <w:keepLines w:val="0"/>
            <w:tabs>
              <w:tab w:val="left" w:pos="709"/>
            </w:tabs>
            <w:spacing w:before="0" w:line="240" w:lineRule="auto"/>
            <w:jc w:val="both"/>
            <w:rPr>
              <w:rFonts w:asciiTheme="minorHAnsi" w:hAnsiTheme="minorHAnsi" w:cstheme="minorHAnsi"/>
              <w:color w:val="auto"/>
              <w:sz w:val="24"/>
              <w:szCs w:val="24"/>
              <w:lang w:val="en-GB"/>
            </w:rPr>
          </w:pPr>
        </w:p>
        <w:p w14:paraId="2E30A972"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cstheme="minorHAnsi"/>
              <w:b w:val="0"/>
              <w:i/>
              <w:color w:val="auto"/>
              <w:sz w:val="24"/>
              <w:szCs w:val="24"/>
              <w:lang w:val="en-GB"/>
            </w:rPr>
          </w:pPr>
          <w:bookmarkStart w:id="106" w:name="_Toc4762868"/>
          <w:bookmarkStart w:id="107" w:name="_Toc25229311"/>
          <w:r w:rsidRPr="000D4A19">
            <w:rPr>
              <w:rFonts w:asciiTheme="minorHAnsi" w:hAnsiTheme="minorHAnsi" w:cstheme="minorHAnsi"/>
              <w:b w:val="0"/>
              <w:i/>
              <w:color w:val="auto"/>
              <w:sz w:val="24"/>
              <w:szCs w:val="24"/>
              <w:lang w:val="en-GB"/>
            </w:rPr>
            <w:t>Declaration requirements</w:t>
          </w:r>
          <w:bookmarkEnd w:id="106"/>
          <w:bookmarkEnd w:id="107"/>
        </w:p>
        <w:p w14:paraId="1BE14E30" w14:textId="77777777" w:rsidR="009919AC" w:rsidRPr="000D4A19" w:rsidRDefault="009919AC" w:rsidP="004B7CAB">
          <w:pPr>
            <w:spacing w:after="0" w:line="240" w:lineRule="auto"/>
            <w:jc w:val="both"/>
            <w:rPr>
              <w:rFonts w:cstheme="minorHAnsi"/>
              <w:b/>
              <w:sz w:val="24"/>
              <w:szCs w:val="24"/>
              <w:u w:val="single"/>
              <w:lang w:val="en-GB"/>
            </w:rPr>
          </w:pPr>
        </w:p>
        <w:p w14:paraId="2D813DC3" w14:textId="4A48C1D7"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Officials within the remit of the LCI are required to declare assets </w:t>
          </w:r>
          <w:r w:rsidRPr="000D4A19">
            <w:rPr>
              <w:sz w:val="24"/>
              <w:szCs w:val="24"/>
              <w:lang w:val="en-GB"/>
            </w:rPr>
            <w:t xml:space="preserve">and their sources, whether acquired or inherited, and to identify the source of income from professional and non-professional activities. They are also required to declare the assets and income of their spouses or partners and any underage children. </w:t>
          </w:r>
        </w:p>
        <w:p w14:paraId="522B2FC4" w14:textId="77777777" w:rsidR="009919AC" w:rsidRPr="000D4A19" w:rsidRDefault="009919AC" w:rsidP="004B7CAB">
          <w:pPr>
            <w:tabs>
              <w:tab w:val="left" w:pos="709"/>
              <w:tab w:val="num" w:pos="8222"/>
            </w:tabs>
            <w:spacing w:after="0" w:line="240" w:lineRule="auto"/>
            <w:jc w:val="both"/>
            <w:rPr>
              <w:rFonts w:cstheme="minorHAnsi"/>
              <w:sz w:val="24"/>
              <w:szCs w:val="24"/>
              <w:lang w:val="en-GB"/>
            </w:rPr>
          </w:pPr>
        </w:p>
        <w:p w14:paraId="33EC19E0" w14:textId="367B7BD9"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ascii="Verdana" w:hAnsi="Verdana" w:cs="Calibri"/>
              <w:i/>
              <w:sz w:val="20"/>
              <w:szCs w:val="20"/>
              <w:lang w:val="en-GB"/>
            </w:rPr>
          </w:pPr>
          <w:r w:rsidRPr="000D4A19">
            <w:rPr>
              <w:sz w:val="24"/>
              <w:szCs w:val="24"/>
              <w:lang w:val="en-GB"/>
            </w:rPr>
            <w:t xml:space="preserve">A standardised form for the declarations (with separate listings for </w:t>
          </w:r>
          <w:r w:rsidR="004859F5" w:rsidRPr="000D4A19">
            <w:rPr>
              <w:sz w:val="24"/>
              <w:szCs w:val="24"/>
              <w:lang w:val="en-GB"/>
            </w:rPr>
            <w:t xml:space="preserve">work performed by the official 12 months before starting his/her duties, </w:t>
          </w:r>
          <w:r w:rsidRPr="000D4A19">
            <w:rPr>
              <w:sz w:val="24"/>
              <w:szCs w:val="24"/>
              <w:lang w:val="en-GB"/>
            </w:rPr>
            <w:t>income, grants/donations/subsidies, income/other revenue of the spouse/partner, debts/claims, real estate, moveable assets entered in a public register, moveable assets with an individual value of more than 30</w:t>
          </w:r>
          <w:r w:rsidR="00EF2A5D" w:rsidRPr="000D4A19">
            <w:rPr>
              <w:sz w:val="24"/>
              <w:szCs w:val="24"/>
              <w:lang w:val="en-GB"/>
            </w:rPr>
            <w:t xml:space="preserve"> </w:t>
          </w:r>
          <w:r w:rsidRPr="000D4A19">
            <w:rPr>
              <w:sz w:val="24"/>
              <w:szCs w:val="24"/>
              <w:lang w:val="en-GB"/>
            </w:rPr>
            <w:t>000 HRK/approx. 4</w:t>
          </w:r>
          <w:r w:rsidR="00EF2A5D" w:rsidRPr="000D4A19">
            <w:rPr>
              <w:sz w:val="24"/>
              <w:szCs w:val="24"/>
              <w:lang w:val="en-GB"/>
            </w:rPr>
            <w:t xml:space="preserve"> </w:t>
          </w:r>
          <w:r w:rsidRPr="000D4A19">
            <w:rPr>
              <w:sz w:val="24"/>
              <w:szCs w:val="24"/>
              <w:lang w:val="en-GB"/>
            </w:rPr>
            <w:t>000 EUR, business interests and company shares, savings and membership/functions in other legal entities/associations/organisations) has been established</w:t>
          </w:r>
          <w:r w:rsidRPr="000D4A19">
            <w:rPr>
              <w:rFonts w:cstheme="minorHAnsi"/>
              <w:sz w:val="24"/>
              <w:szCs w:val="24"/>
              <w:lang w:val="en-GB"/>
            </w:rPr>
            <w:t xml:space="preserve">. </w:t>
          </w:r>
        </w:p>
        <w:p w14:paraId="7E61DAFD" w14:textId="77777777" w:rsidR="009D37C3" w:rsidRPr="000D4A19" w:rsidRDefault="009D37C3" w:rsidP="009D37C3">
          <w:pPr>
            <w:tabs>
              <w:tab w:val="left" w:pos="709"/>
              <w:tab w:val="num" w:pos="8222"/>
            </w:tabs>
            <w:spacing w:after="0" w:line="240" w:lineRule="auto"/>
            <w:jc w:val="both"/>
            <w:rPr>
              <w:rFonts w:ascii="Verdana" w:hAnsi="Verdana" w:cs="Calibri"/>
              <w:i/>
              <w:sz w:val="20"/>
              <w:szCs w:val="20"/>
              <w:lang w:val="en-GB"/>
            </w:rPr>
          </w:pPr>
        </w:p>
        <w:p w14:paraId="0CF1988D" w14:textId="21EA8B2D" w:rsidR="00BC04B1" w:rsidRPr="000D4A19" w:rsidRDefault="009919AC" w:rsidP="00BC04B1">
          <w:pPr>
            <w:numPr>
              <w:ilvl w:val="0"/>
              <w:numId w:val="1"/>
            </w:numPr>
            <w:tabs>
              <w:tab w:val="num" w:pos="681"/>
              <w:tab w:val="num" w:pos="1557"/>
              <w:tab w:val="num" w:pos="8222"/>
            </w:tabs>
            <w:spacing w:after="0" w:line="240" w:lineRule="auto"/>
            <w:ind w:left="0" w:firstLine="0"/>
            <w:jc w:val="both"/>
            <w:rPr>
              <w:rFonts w:cstheme="minorHAnsi"/>
              <w:sz w:val="24"/>
              <w:szCs w:val="24"/>
              <w:lang w:val="en-GB"/>
            </w:rPr>
          </w:pPr>
          <w:r w:rsidRPr="000D4A19">
            <w:rPr>
              <w:sz w:val="24"/>
              <w:szCs w:val="24"/>
              <w:lang w:val="en-GB"/>
            </w:rPr>
            <w:t xml:space="preserve">The Commission for the Prevention of Conflicts of Interest publishes the contents of the declarations on a </w:t>
          </w:r>
          <w:hyperlink r:id="rId24" w:history="1">
            <w:r w:rsidRPr="000D4A19">
              <w:rPr>
                <w:rStyle w:val="Hiperveza"/>
                <w:sz w:val="24"/>
                <w:szCs w:val="24"/>
                <w:lang w:val="en-GB"/>
              </w:rPr>
              <w:t>public website</w:t>
            </w:r>
          </w:hyperlink>
          <w:r w:rsidRPr="000D4A19">
            <w:rPr>
              <w:sz w:val="24"/>
              <w:szCs w:val="24"/>
              <w:lang w:val="en-GB"/>
            </w:rPr>
            <w:t xml:space="preserve">. Declarations are publicly available, both online and in person on the premises of the Commission for the Prevention of Conflicts of Interest. The hard copies of declarations are stored at the Commission for ten years after which they are sent to the State archive. </w:t>
          </w:r>
          <w:r w:rsidR="009D37C3" w:rsidRPr="000D4A19">
            <w:rPr>
              <w:rFonts w:cstheme="minorHAnsi"/>
              <w:sz w:val="24"/>
              <w:szCs w:val="24"/>
              <w:lang w:val="en-GB"/>
            </w:rPr>
            <w:t xml:space="preserve">These </w:t>
          </w:r>
          <w:r w:rsidR="009D37C3" w:rsidRPr="000D4A19">
            <w:rPr>
              <w:rFonts w:cs="Calibri"/>
              <w:sz w:val="24"/>
              <w:szCs w:val="24"/>
              <w:lang w:val="en-GB"/>
            </w:rPr>
            <w:t xml:space="preserve">declarations are to be submitted to the Commission for the Prevention of Conflicts of Interest within 30 days of the official taking up office and within 30 days of leaving office (Article 8, LCI). If an official has been reappointed or re-elected to the same office, s/he must again </w:t>
          </w:r>
          <w:r w:rsidR="00E522A5" w:rsidRPr="000D4A19">
            <w:rPr>
              <w:rFonts w:cs="Calibri"/>
              <w:sz w:val="24"/>
              <w:szCs w:val="24"/>
              <w:lang w:val="en-GB"/>
            </w:rPr>
            <w:t>submit a declaration</w:t>
          </w:r>
          <w:r w:rsidR="00573D4A" w:rsidRPr="000D4A19">
            <w:rPr>
              <w:rFonts w:cs="Calibri"/>
              <w:sz w:val="24"/>
              <w:szCs w:val="24"/>
              <w:lang w:val="en-GB"/>
            </w:rPr>
            <w:t>.</w:t>
          </w:r>
          <w:r w:rsidR="009D37C3" w:rsidRPr="000D4A19">
            <w:rPr>
              <w:rFonts w:cs="Calibri"/>
              <w:sz w:val="24"/>
              <w:szCs w:val="24"/>
              <w:lang w:val="en-GB"/>
            </w:rPr>
            <w:t xml:space="preserve"> While in office, officials must also declare </w:t>
          </w:r>
          <w:r w:rsidR="00573D4A" w:rsidRPr="000D4A19">
            <w:rPr>
              <w:rFonts w:cs="Calibri"/>
              <w:sz w:val="24"/>
              <w:szCs w:val="24"/>
              <w:lang w:val="en-GB"/>
            </w:rPr>
            <w:t xml:space="preserve">any significant change in the data in respect of their </w:t>
          </w:r>
          <w:r w:rsidR="00BF182A">
            <w:rPr>
              <w:rFonts w:cs="Calibri"/>
              <w:sz w:val="24"/>
              <w:szCs w:val="24"/>
              <w:lang w:val="en-GB"/>
            </w:rPr>
            <w:t>declarations</w:t>
          </w:r>
          <w:r w:rsidR="00573D4A" w:rsidRPr="000D4A19">
            <w:rPr>
              <w:rFonts w:cs="Calibri"/>
              <w:sz w:val="24"/>
              <w:szCs w:val="24"/>
              <w:lang w:val="en-GB"/>
            </w:rPr>
            <w:t xml:space="preserve">, </w:t>
          </w:r>
          <w:r w:rsidR="009D37C3" w:rsidRPr="000D4A19">
            <w:rPr>
              <w:rFonts w:cs="Calibri"/>
              <w:sz w:val="24"/>
              <w:szCs w:val="24"/>
              <w:lang w:val="en-GB"/>
            </w:rPr>
            <w:t>by the end of the year in which the change occurred.</w:t>
          </w:r>
          <w:r w:rsidR="00B80ADD">
            <w:rPr>
              <w:rFonts w:cs="Calibri"/>
              <w:sz w:val="24"/>
              <w:szCs w:val="24"/>
              <w:lang w:val="en-GB"/>
            </w:rPr>
            <w:t xml:space="preserve"> </w:t>
          </w:r>
        </w:p>
        <w:p w14:paraId="6DA3803C" w14:textId="77777777" w:rsidR="00BC04B1" w:rsidRPr="000D4A19" w:rsidRDefault="00BC04B1" w:rsidP="00F43323">
          <w:pPr>
            <w:tabs>
              <w:tab w:val="num" w:pos="3403"/>
              <w:tab w:val="num" w:pos="8222"/>
            </w:tabs>
            <w:spacing w:after="0" w:line="240" w:lineRule="auto"/>
            <w:jc w:val="both"/>
            <w:rPr>
              <w:rFonts w:cstheme="minorHAnsi"/>
              <w:sz w:val="24"/>
              <w:szCs w:val="24"/>
              <w:lang w:val="en-GB"/>
            </w:rPr>
          </w:pPr>
        </w:p>
        <w:p w14:paraId="39C9BD31" w14:textId="3DEA0534" w:rsidR="009D37C3" w:rsidRPr="00715CBC" w:rsidRDefault="00573D4A" w:rsidP="00715CBC">
          <w:pPr>
            <w:numPr>
              <w:ilvl w:val="0"/>
              <w:numId w:val="1"/>
            </w:numPr>
            <w:tabs>
              <w:tab w:val="num" w:pos="681"/>
              <w:tab w:val="num" w:pos="1557"/>
              <w:tab w:val="num" w:pos="8222"/>
            </w:tabs>
            <w:spacing w:after="0" w:line="240" w:lineRule="auto"/>
            <w:ind w:left="0" w:firstLine="0"/>
            <w:jc w:val="both"/>
            <w:rPr>
              <w:rFonts w:cs="Calibri"/>
              <w:sz w:val="24"/>
              <w:szCs w:val="24"/>
              <w:lang w:val="en-GB"/>
            </w:rPr>
          </w:pPr>
          <w:r w:rsidRPr="00AC2838">
            <w:rPr>
              <w:rFonts w:cs="Calibri"/>
              <w:sz w:val="24"/>
              <w:szCs w:val="24"/>
              <w:lang w:val="en-GB"/>
            </w:rPr>
            <w:t xml:space="preserve"> In discussing this issue on-site, the GET was informed that very few ad-hoc declarations were being made</w:t>
          </w:r>
          <w:r w:rsidR="00B80ADD" w:rsidRPr="00AC2838">
            <w:rPr>
              <w:rFonts w:cs="Calibri"/>
              <w:sz w:val="24"/>
              <w:szCs w:val="24"/>
              <w:lang w:val="en-GB"/>
            </w:rPr>
            <w:t xml:space="preserve"> (</w:t>
          </w:r>
          <w:r w:rsidR="000B29C1">
            <w:rPr>
              <w:rFonts w:cs="Calibri"/>
              <w:i/>
              <w:sz w:val="24"/>
              <w:szCs w:val="24"/>
              <w:lang w:val="en-GB"/>
            </w:rPr>
            <w:t xml:space="preserve">inter alia </w:t>
          </w:r>
          <w:r w:rsidR="00D22E2C">
            <w:rPr>
              <w:rFonts w:cs="Calibri"/>
              <w:sz w:val="24"/>
              <w:szCs w:val="24"/>
              <w:lang w:val="en-GB"/>
            </w:rPr>
            <w:t>as</w:t>
          </w:r>
          <w:r w:rsidR="000B29C1">
            <w:rPr>
              <w:rFonts w:cs="Calibri"/>
              <w:sz w:val="24"/>
              <w:szCs w:val="24"/>
              <w:lang w:val="en-GB"/>
            </w:rPr>
            <w:t xml:space="preserve"> </w:t>
          </w:r>
          <w:r w:rsidR="00B80ADD" w:rsidRPr="00AC2838">
            <w:rPr>
              <w:rFonts w:cs="Calibri"/>
              <w:sz w:val="24"/>
              <w:szCs w:val="24"/>
              <w:lang w:val="en-GB"/>
            </w:rPr>
            <w:t>it was not always clear what a “significant change in data” would entail)</w:t>
          </w:r>
          <w:r w:rsidRPr="00AC2838">
            <w:rPr>
              <w:rFonts w:cs="Calibri"/>
              <w:sz w:val="24"/>
              <w:szCs w:val="24"/>
              <w:lang w:val="en-GB"/>
            </w:rPr>
            <w:t xml:space="preserve"> and that the large majority of officials would only submit a</w:t>
          </w:r>
          <w:r w:rsidR="00BF182A">
            <w:rPr>
              <w:rFonts w:cs="Calibri"/>
              <w:sz w:val="24"/>
              <w:szCs w:val="24"/>
              <w:lang w:val="en-GB"/>
            </w:rPr>
            <w:t xml:space="preserve"> </w:t>
          </w:r>
          <w:r w:rsidRPr="00AC2838">
            <w:rPr>
              <w:rFonts w:cs="Calibri"/>
              <w:sz w:val="24"/>
              <w:szCs w:val="24"/>
              <w:lang w:val="en-GB"/>
            </w:rPr>
            <w:t>declaration once every four years (i.e. upon taking up their position and upon termination or re-election</w:t>
          </w:r>
          <w:r w:rsidR="00213DB6" w:rsidRPr="00AC2838">
            <w:rPr>
              <w:rFonts w:cs="Calibri"/>
              <w:sz w:val="24"/>
              <w:szCs w:val="24"/>
              <w:lang w:val="en-GB"/>
            </w:rPr>
            <w:t xml:space="preserve">/re-appointment). </w:t>
          </w:r>
          <w:r w:rsidR="00440F7B" w:rsidRPr="00AC2838">
            <w:rPr>
              <w:rFonts w:cs="Calibri"/>
              <w:sz w:val="24"/>
              <w:szCs w:val="24"/>
              <w:lang w:val="en-GB"/>
            </w:rPr>
            <w:t>The data in the declaration initially submitted can undergo many changes over this period of time</w:t>
          </w:r>
          <w:r w:rsidR="000B29C1">
            <w:rPr>
              <w:rFonts w:cs="Calibri"/>
              <w:sz w:val="24"/>
              <w:szCs w:val="24"/>
              <w:lang w:val="en-GB"/>
            </w:rPr>
            <w:t>, but a</w:t>
          </w:r>
          <w:r w:rsidR="00213DB6" w:rsidRPr="000B29C1">
            <w:rPr>
              <w:rFonts w:cs="Calibri"/>
              <w:sz w:val="24"/>
              <w:szCs w:val="24"/>
              <w:lang w:val="en-GB"/>
            </w:rPr>
            <w:t xml:space="preserve">s </w:t>
          </w:r>
          <w:r w:rsidR="00213DB6" w:rsidRPr="00AC2838">
            <w:rPr>
              <w:rFonts w:cs="Calibri"/>
              <w:sz w:val="24"/>
              <w:szCs w:val="24"/>
              <w:lang w:val="en-GB"/>
            </w:rPr>
            <w:t xml:space="preserve">long as </w:t>
          </w:r>
          <w:r w:rsidR="00D22E2C">
            <w:rPr>
              <w:rFonts w:cs="Calibri"/>
              <w:sz w:val="24"/>
              <w:szCs w:val="24"/>
              <w:lang w:val="en-GB"/>
            </w:rPr>
            <w:t xml:space="preserve">it </w:t>
          </w:r>
          <w:r w:rsidR="00213DB6" w:rsidRPr="00AC2838">
            <w:rPr>
              <w:rFonts w:cs="Calibri"/>
              <w:sz w:val="24"/>
              <w:szCs w:val="24"/>
              <w:lang w:val="en-GB"/>
            </w:rPr>
            <w:t xml:space="preserve">is harmonised upon terminating his/her office with the data submitted in his/her earlier declaration, it would currently not lead to any red flags. </w:t>
          </w:r>
          <w:r w:rsidR="00AC5BA0" w:rsidRPr="00AC2838">
            <w:rPr>
              <w:rFonts w:cs="Calibri"/>
              <w:sz w:val="24"/>
              <w:szCs w:val="24"/>
              <w:lang w:val="en-GB"/>
            </w:rPr>
            <w:t xml:space="preserve">The GET has taken note of the explanations of the Croatian authorities that on the basis of Article 26 of the LCI, the Commission can also request an official to provide a written statement with the necessary evidence, if it receives information that the </w:t>
          </w:r>
          <w:r w:rsidR="00AC2838" w:rsidRPr="00AC2838">
            <w:rPr>
              <w:rFonts w:cs="Calibri"/>
              <w:sz w:val="24"/>
              <w:szCs w:val="24"/>
              <w:lang w:val="en-GB"/>
            </w:rPr>
            <w:t xml:space="preserve">declaration </w:t>
          </w:r>
          <w:r w:rsidR="00AC5BA0" w:rsidRPr="00AC2838">
            <w:rPr>
              <w:rFonts w:cs="Calibri"/>
              <w:sz w:val="24"/>
              <w:szCs w:val="24"/>
              <w:lang w:val="en-GB"/>
            </w:rPr>
            <w:t xml:space="preserve">submitted by an official is incorrect. </w:t>
          </w:r>
          <w:r w:rsidR="00AC2838" w:rsidRPr="00AC2838">
            <w:rPr>
              <w:rFonts w:cs="Calibri"/>
              <w:sz w:val="24"/>
              <w:szCs w:val="24"/>
              <w:lang w:val="en-GB"/>
            </w:rPr>
            <w:t xml:space="preserve">Nevertheless, the GET considers that more can be done to ensure that meaningful information is at the disposal of the Commission </w:t>
          </w:r>
          <w:r w:rsidR="00AC2838">
            <w:rPr>
              <w:rFonts w:cs="Calibri"/>
              <w:sz w:val="24"/>
              <w:szCs w:val="24"/>
              <w:lang w:val="en-GB"/>
            </w:rPr>
            <w:t>(</w:t>
          </w:r>
          <w:r w:rsidR="00AC2838" w:rsidRPr="00AC2838">
            <w:rPr>
              <w:rFonts w:cs="Calibri"/>
              <w:sz w:val="24"/>
              <w:szCs w:val="24"/>
              <w:lang w:val="en-GB"/>
            </w:rPr>
            <w:t>and the public at large</w:t>
          </w:r>
          <w:r w:rsidR="00AC2838">
            <w:rPr>
              <w:rFonts w:cs="Calibri"/>
              <w:sz w:val="24"/>
              <w:szCs w:val="24"/>
              <w:lang w:val="en-GB"/>
            </w:rPr>
            <w:t>) in a timely manner</w:t>
          </w:r>
          <w:r w:rsidR="00AC2838" w:rsidRPr="00AC2838">
            <w:rPr>
              <w:rFonts w:cs="Calibri"/>
              <w:sz w:val="24"/>
              <w:szCs w:val="24"/>
              <w:lang w:val="en-GB"/>
            </w:rPr>
            <w:t>. I</w:t>
          </w:r>
          <w:r w:rsidR="003B5013">
            <w:rPr>
              <w:rFonts w:cs="Calibri"/>
              <w:sz w:val="24"/>
              <w:szCs w:val="24"/>
              <w:lang w:val="en-GB"/>
            </w:rPr>
            <w:t xml:space="preserve">n this respect, </w:t>
          </w:r>
          <w:r w:rsidR="00AC2838" w:rsidRPr="00AC2838">
            <w:rPr>
              <w:rFonts w:cs="Calibri"/>
              <w:sz w:val="24"/>
              <w:szCs w:val="24"/>
              <w:lang w:val="en-GB"/>
            </w:rPr>
            <w:t xml:space="preserve">in comparison with other categories of officials, </w:t>
          </w:r>
          <w:r w:rsidR="00AC2838">
            <w:rPr>
              <w:rFonts w:cs="Calibri"/>
              <w:sz w:val="24"/>
              <w:szCs w:val="24"/>
              <w:lang w:val="en-GB"/>
            </w:rPr>
            <w:t xml:space="preserve">persons with top executive functions </w:t>
          </w:r>
          <w:r w:rsidR="00AC2838" w:rsidRPr="00AC2838">
            <w:rPr>
              <w:rFonts w:cs="Calibri"/>
              <w:sz w:val="24"/>
              <w:szCs w:val="24"/>
              <w:lang w:val="en-GB"/>
            </w:rPr>
            <w:t xml:space="preserve">can be expected </w:t>
          </w:r>
          <w:r w:rsidR="003B5013">
            <w:rPr>
              <w:rFonts w:cs="Calibri"/>
              <w:sz w:val="24"/>
              <w:szCs w:val="24"/>
              <w:lang w:val="en-GB"/>
            </w:rPr>
            <w:t xml:space="preserve">to be </w:t>
          </w:r>
          <w:r w:rsidR="003B5013">
            <w:rPr>
              <w:rFonts w:ascii="Calibri" w:hAnsi="Calibri"/>
              <w:sz w:val="24"/>
              <w:szCs w:val="24"/>
              <w:lang w:val="en-GB"/>
            </w:rPr>
            <w:t xml:space="preserve">subject to more </w:t>
          </w:r>
          <w:r w:rsidR="00AC2838" w:rsidRPr="003B5013">
            <w:rPr>
              <w:rFonts w:ascii="Calibri" w:hAnsi="Calibri"/>
              <w:sz w:val="24"/>
              <w:szCs w:val="24"/>
              <w:lang w:val="en-GB"/>
            </w:rPr>
            <w:t xml:space="preserve">stringent accountability and transparency standards. </w:t>
          </w:r>
          <w:r w:rsidR="000B29C1" w:rsidRPr="003B5013">
            <w:rPr>
              <w:rFonts w:ascii="Calibri" w:hAnsi="Calibri"/>
              <w:sz w:val="24"/>
              <w:szCs w:val="24"/>
              <w:lang w:val="en-GB"/>
            </w:rPr>
            <w:t>Therefore</w:t>
          </w:r>
          <w:r w:rsidR="00D974C8" w:rsidRPr="003B5013">
            <w:rPr>
              <w:rFonts w:cs="Calibri"/>
              <w:sz w:val="24"/>
              <w:szCs w:val="24"/>
              <w:lang w:val="en-GB"/>
            </w:rPr>
            <w:t>, the GET would find it useful</w:t>
          </w:r>
          <w:r w:rsidR="004B0D75" w:rsidRPr="003B5013">
            <w:rPr>
              <w:rFonts w:cs="Calibri"/>
              <w:sz w:val="24"/>
              <w:szCs w:val="24"/>
              <w:lang w:val="en-GB"/>
            </w:rPr>
            <w:t xml:space="preserve"> to oblige </w:t>
          </w:r>
          <w:r w:rsidR="004A2E85" w:rsidRPr="003B5013">
            <w:rPr>
              <w:rFonts w:cs="Calibri"/>
              <w:sz w:val="24"/>
              <w:szCs w:val="24"/>
              <w:lang w:val="en-GB"/>
            </w:rPr>
            <w:t xml:space="preserve">persons with top executive functions </w:t>
          </w:r>
          <w:r w:rsidR="004B0D75" w:rsidRPr="003B5013">
            <w:rPr>
              <w:rFonts w:cs="Calibri"/>
              <w:sz w:val="24"/>
              <w:szCs w:val="24"/>
              <w:lang w:val="en-GB"/>
            </w:rPr>
            <w:t xml:space="preserve">to </w:t>
          </w:r>
          <w:r w:rsidR="00440F7B" w:rsidRPr="003B5013">
            <w:rPr>
              <w:rFonts w:cs="Calibri"/>
              <w:sz w:val="24"/>
              <w:szCs w:val="24"/>
              <w:lang w:val="en-GB"/>
            </w:rPr>
            <w:t xml:space="preserve">submit their declarations </w:t>
          </w:r>
          <w:r w:rsidR="004B0D75" w:rsidRPr="003B5013">
            <w:rPr>
              <w:rFonts w:cs="Calibri"/>
              <w:sz w:val="24"/>
              <w:szCs w:val="24"/>
              <w:lang w:val="en-GB"/>
            </w:rPr>
            <w:t xml:space="preserve">more </w:t>
          </w:r>
          <w:r w:rsidR="00440F7B" w:rsidRPr="003B5013">
            <w:rPr>
              <w:rFonts w:cs="Calibri"/>
              <w:sz w:val="24"/>
              <w:szCs w:val="24"/>
              <w:lang w:val="en-GB"/>
            </w:rPr>
            <w:t>frequently</w:t>
          </w:r>
          <w:r w:rsidR="003B5013">
            <w:rPr>
              <w:rFonts w:cs="Calibri"/>
              <w:sz w:val="24"/>
              <w:szCs w:val="24"/>
              <w:lang w:val="en-GB"/>
            </w:rPr>
            <w:t>.</w:t>
          </w:r>
          <w:r w:rsidR="00B80ADD" w:rsidRPr="003B5013">
            <w:rPr>
              <w:rFonts w:cs="Calibri"/>
              <w:sz w:val="24"/>
              <w:szCs w:val="24"/>
              <w:lang w:val="en-GB"/>
            </w:rPr>
            <w:t xml:space="preserve"> </w:t>
          </w:r>
          <w:r w:rsidR="00D974C8" w:rsidRPr="003B5013">
            <w:rPr>
              <w:rFonts w:cs="Calibri"/>
              <w:sz w:val="24"/>
              <w:szCs w:val="24"/>
              <w:lang w:val="en-GB"/>
            </w:rPr>
            <w:t xml:space="preserve">In light of the foregoing, </w:t>
          </w:r>
          <w:r w:rsidR="00213DB6" w:rsidRPr="003B5013">
            <w:rPr>
              <w:rFonts w:cs="Calibri"/>
              <w:b/>
              <w:sz w:val="24"/>
              <w:szCs w:val="24"/>
              <w:lang w:val="en-GB"/>
            </w:rPr>
            <w:t xml:space="preserve">GRECO recommends </w:t>
          </w:r>
          <w:bookmarkStart w:id="108" w:name="_Hlk26535756"/>
          <w:bookmarkStart w:id="109" w:name="_Hlk22745605"/>
          <w:r w:rsidR="00077622" w:rsidRPr="003B5013">
            <w:rPr>
              <w:rFonts w:cs="Calibri"/>
              <w:b/>
              <w:sz w:val="24"/>
              <w:szCs w:val="24"/>
              <w:lang w:val="en-GB"/>
            </w:rPr>
            <w:t xml:space="preserve">obliging persons with top executive functions to </w:t>
          </w:r>
          <w:r w:rsidR="00B80ADD" w:rsidRPr="003B5013">
            <w:rPr>
              <w:rFonts w:cs="Calibri"/>
              <w:b/>
              <w:sz w:val="24"/>
              <w:szCs w:val="24"/>
              <w:lang w:val="en-GB"/>
            </w:rPr>
            <w:t xml:space="preserve">submit </w:t>
          </w:r>
          <w:r w:rsidR="00BF182A">
            <w:rPr>
              <w:rFonts w:cs="Calibri"/>
              <w:b/>
              <w:sz w:val="24"/>
              <w:szCs w:val="24"/>
              <w:lang w:val="en-GB"/>
            </w:rPr>
            <w:t xml:space="preserve">their </w:t>
          </w:r>
          <w:r w:rsidR="00B80ADD" w:rsidRPr="003B5013">
            <w:rPr>
              <w:rFonts w:cs="Calibri"/>
              <w:b/>
              <w:sz w:val="24"/>
              <w:szCs w:val="24"/>
              <w:lang w:val="en-GB"/>
            </w:rPr>
            <w:t xml:space="preserve">financial declaration </w:t>
          </w:r>
          <w:r w:rsidR="00BF182A">
            <w:rPr>
              <w:rFonts w:cs="Calibri"/>
              <w:b/>
              <w:sz w:val="24"/>
              <w:szCs w:val="24"/>
              <w:lang w:val="en-GB"/>
            </w:rPr>
            <w:t xml:space="preserve">to the Commission for the Prevention of Conflicts of Interest </w:t>
          </w:r>
          <w:r w:rsidR="003E742A" w:rsidRPr="003B5013">
            <w:rPr>
              <w:rFonts w:cs="Calibri"/>
              <w:b/>
              <w:sz w:val="24"/>
              <w:szCs w:val="24"/>
              <w:lang w:val="en-GB"/>
            </w:rPr>
            <w:t xml:space="preserve">on </w:t>
          </w:r>
          <w:r w:rsidR="00B80ADD" w:rsidRPr="003B5013">
            <w:rPr>
              <w:rFonts w:cs="Calibri"/>
              <w:b/>
              <w:sz w:val="24"/>
              <w:szCs w:val="24"/>
              <w:lang w:val="en-GB"/>
            </w:rPr>
            <w:t>a</w:t>
          </w:r>
          <w:r w:rsidR="003E742A" w:rsidRPr="003B5013">
            <w:rPr>
              <w:rFonts w:cs="Calibri"/>
              <w:b/>
              <w:sz w:val="24"/>
              <w:szCs w:val="24"/>
              <w:lang w:val="en-GB"/>
            </w:rPr>
            <w:t>n annual basis</w:t>
          </w:r>
          <w:bookmarkEnd w:id="108"/>
          <w:r w:rsidR="00B80ADD" w:rsidRPr="003B5013">
            <w:rPr>
              <w:rFonts w:cs="Calibri"/>
              <w:b/>
              <w:sz w:val="24"/>
              <w:szCs w:val="24"/>
              <w:lang w:val="en-GB"/>
            </w:rPr>
            <w:t xml:space="preserve">. </w:t>
          </w:r>
        </w:p>
        <w:bookmarkEnd w:id="109"/>
        <w:p w14:paraId="197D4616" w14:textId="1830AE08" w:rsidR="009919AC" w:rsidRPr="000D4A19" w:rsidRDefault="009919AC" w:rsidP="00051311">
          <w:pPr>
            <w:tabs>
              <w:tab w:val="left" w:pos="709"/>
              <w:tab w:val="num" w:pos="8222"/>
            </w:tabs>
            <w:spacing w:after="0" w:line="240" w:lineRule="auto"/>
            <w:jc w:val="both"/>
            <w:rPr>
              <w:rFonts w:cstheme="minorHAnsi"/>
              <w:sz w:val="24"/>
              <w:szCs w:val="24"/>
              <w:lang w:val="en-GB"/>
            </w:rPr>
          </w:pPr>
        </w:p>
        <w:p w14:paraId="1C2ACCAD" w14:textId="75A5EE87" w:rsidR="00212B05" w:rsidRPr="000D4A19" w:rsidRDefault="00212B05" w:rsidP="00051311">
          <w:pPr>
            <w:pStyle w:val="Naslov3"/>
            <w:spacing w:before="0" w:line="240" w:lineRule="auto"/>
            <w:rPr>
              <w:rFonts w:asciiTheme="minorHAnsi" w:hAnsiTheme="minorHAnsi" w:cstheme="minorHAnsi"/>
              <w:b w:val="0"/>
              <w:i/>
              <w:color w:val="auto"/>
              <w:sz w:val="24"/>
              <w:szCs w:val="24"/>
              <w:lang w:val="en-GB"/>
            </w:rPr>
          </w:pPr>
          <w:bookmarkStart w:id="110" w:name="_Toc25229312"/>
          <w:r w:rsidRPr="000D4A19">
            <w:rPr>
              <w:rFonts w:asciiTheme="minorHAnsi" w:hAnsiTheme="minorHAnsi" w:cstheme="minorHAnsi"/>
              <w:b w:val="0"/>
              <w:i/>
              <w:color w:val="auto"/>
              <w:sz w:val="24"/>
              <w:szCs w:val="24"/>
              <w:lang w:val="en-GB"/>
            </w:rPr>
            <w:t>Review mechanisms</w:t>
          </w:r>
          <w:bookmarkEnd w:id="110"/>
          <w:r w:rsidRPr="000D4A19">
            <w:rPr>
              <w:rFonts w:asciiTheme="minorHAnsi" w:hAnsiTheme="minorHAnsi" w:cstheme="minorHAnsi"/>
              <w:b w:val="0"/>
              <w:i/>
              <w:color w:val="auto"/>
              <w:sz w:val="24"/>
              <w:szCs w:val="24"/>
              <w:lang w:val="en-GB"/>
            </w:rPr>
            <w:t xml:space="preserve"> </w:t>
          </w:r>
        </w:p>
        <w:p w14:paraId="2E53F049" w14:textId="77777777" w:rsidR="00573D4A" w:rsidRPr="000D4A19" w:rsidRDefault="00573D4A" w:rsidP="00051311">
          <w:pPr>
            <w:tabs>
              <w:tab w:val="num" w:pos="3403"/>
              <w:tab w:val="num" w:pos="8222"/>
            </w:tabs>
            <w:spacing w:after="0" w:line="240" w:lineRule="auto"/>
            <w:jc w:val="both"/>
            <w:rPr>
              <w:rFonts w:cs="Calibri"/>
              <w:i/>
              <w:sz w:val="24"/>
              <w:szCs w:val="24"/>
              <w:lang w:val="en-GB"/>
            </w:rPr>
          </w:pPr>
        </w:p>
        <w:p w14:paraId="3A6A210A" w14:textId="5D24DC27" w:rsidR="00212B05" w:rsidRPr="000D4A19" w:rsidRDefault="00212B05" w:rsidP="00051311">
          <w:pPr>
            <w:numPr>
              <w:ilvl w:val="0"/>
              <w:numId w:val="1"/>
            </w:numPr>
            <w:tabs>
              <w:tab w:val="num" w:pos="681"/>
              <w:tab w:val="num" w:pos="1557"/>
              <w:tab w:val="num" w:pos="8222"/>
            </w:tabs>
            <w:spacing w:after="0" w:line="240" w:lineRule="auto"/>
            <w:ind w:left="0" w:firstLine="0"/>
            <w:jc w:val="both"/>
            <w:rPr>
              <w:rFonts w:cs="Calibri"/>
              <w:i/>
              <w:sz w:val="24"/>
              <w:szCs w:val="24"/>
              <w:lang w:val="en-GB"/>
            </w:rPr>
          </w:pPr>
          <w:r w:rsidRPr="000D4A19">
            <w:rPr>
              <w:rFonts w:cs="Calibri"/>
              <w:sz w:val="24"/>
              <w:szCs w:val="24"/>
              <w:lang w:val="en-GB"/>
            </w:rPr>
            <w:t xml:space="preserve">The </w:t>
          </w:r>
          <w:r w:rsidRPr="000D4A19">
            <w:rPr>
              <w:rFonts w:cs="Calibri"/>
              <w:sz w:val="24"/>
              <w:szCs w:val="24"/>
              <w:u w:val="single"/>
              <w:lang w:val="en-GB"/>
            </w:rPr>
            <w:t xml:space="preserve">Commission for the </w:t>
          </w:r>
          <w:r w:rsidR="00F85342" w:rsidRPr="000D4A19">
            <w:rPr>
              <w:rFonts w:cs="Calibri"/>
              <w:sz w:val="24"/>
              <w:szCs w:val="24"/>
              <w:u w:val="single"/>
              <w:lang w:val="en-GB"/>
            </w:rPr>
            <w:t>Prevention</w:t>
          </w:r>
          <w:r w:rsidR="0006643C" w:rsidRPr="000D4A19">
            <w:rPr>
              <w:rFonts w:cs="Calibri"/>
              <w:sz w:val="24"/>
              <w:szCs w:val="24"/>
              <w:u w:val="single"/>
              <w:lang w:val="en-GB"/>
            </w:rPr>
            <w:t xml:space="preserve"> </w:t>
          </w:r>
          <w:r w:rsidRPr="000D4A19">
            <w:rPr>
              <w:rFonts w:cs="Calibri"/>
              <w:sz w:val="24"/>
              <w:szCs w:val="24"/>
              <w:u w:val="single"/>
              <w:lang w:val="en-GB"/>
            </w:rPr>
            <w:t>of Conflicts of Interest</w:t>
          </w:r>
          <w:r w:rsidRPr="000D4A19">
            <w:rPr>
              <w:rFonts w:cs="Calibri"/>
              <w:sz w:val="24"/>
              <w:szCs w:val="24"/>
              <w:lang w:val="en-GB"/>
            </w:rPr>
            <w:t xml:space="preserve"> is the key body supervising compliance with the regulations of the LCI. It is a standing, independent and autonomous State body, which is composed of five distinguished professionals drawn from business, media, NGOs and academia. The president of the Commission and its four members are elected by a majority vote of all members of the </w:t>
          </w:r>
          <w:r w:rsidR="00EB35D7" w:rsidRPr="000D4A19">
            <w:rPr>
              <w:rFonts w:cs="Calibri"/>
              <w:sz w:val="24"/>
              <w:szCs w:val="24"/>
              <w:lang w:val="en-GB"/>
            </w:rPr>
            <w:t xml:space="preserve">Parliament </w:t>
          </w:r>
          <w:r w:rsidRPr="000D4A19">
            <w:rPr>
              <w:rFonts w:cs="Calibri"/>
              <w:sz w:val="24"/>
              <w:szCs w:val="24"/>
              <w:lang w:val="en-GB"/>
            </w:rPr>
            <w:t xml:space="preserve">(by secret ballot) for a period of five years (renewable once), following an open call in the Official Gazette of Croatia. Candidates are selected on the basis of their professional experience and reputation. The Commission, in its current reformed composition, started to operate in </w:t>
          </w:r>
          <w:r w:rsidR="00BA398A" w:rsidRPr="000D4A19">
            <w:rPr>
              <w:rFonts w:cs="Calibri"/>
              <w:sz w:val="24"/>
              <w:szCs w:val="24"/>
              <w:lang w:val="en-GB"/>
            </w:rPr>
            <w:t xml:space="preserve">the first trimester of </w:t>
          </w:r>
          <w:r w:rsidRPr="000D4A19">
            <w:rPr>
              <w:rFonts w:cs="Calibri"/>
              <w:sz w:val="24"/>
              <w:szCs w:val="24"/>
              <w:lang w:val="en-GB"/>
            </w:rPr>
            <w:t xml:space="preserve">2018. </w:t>
          </w:r>
        </w:p>
        <w:p w14:paraId="14826097" w14:textId="77777777" w:rsidR="00212B05" w:rsidRPr="000D4A19" w:rsidRDefault="00212B05" w:rsidP="00212B05">
          <w:pPr>
            <w:tabs>
              <w:tab w:val="num" w:pos="8222"/>
            </w:tabs>
            <w:spacing w:after="0" w:line="240" w:lineRule="auto"/>
            <w:jc w:val="both"/>
            <w:rPr>
              <w:rFonts w:cs="Calibri"/>
              <w:i/>
              <w:sz w:val="24"/>
              <w:szCs w:val="24"/>
              <w:lang w:val="en-GB"/>
            </w:rPr>
          </w:pPr>
        </w:p>
        <w:p w14:paraId="68C0402B" w14:textId="385A6157" w:rsidR="00212B05" w:rsidRPr="000D4A19" w:rsidRDefault="00212B05" w:rsidP="00212B05">
          <w:pPr>
            <w:numPr>
              <w:ilvl w:val="0"/>
              <w:numId w:val="1"/>
            </w:numPr>
            <w:tabs>
              <w:tab w:val="num" w:pos="681"/>
              <w:tab w:val="num" w:pos="1557"/>
              <w:tab w:val="num" w:pos="8222"/>
            </w:tabs>
            <w:spacing w:after="0" w:line="240" w:lineRule="auto"/>
            <w:ind w:left="0" w:firstLine="0"/>
            <w:jc w:val="both"/>
            <w:rPr>
              <w:rFonts w:cs="Calibri"/>
              <w:i/>
              <w:sz w:val="24"/>
              <w:szCs w:val="24"/>
              <w:lang w:val="en-GB"/>
            </w:rPr>
          </w:pPr>
          <w:r w:rsidRPr="000D4A19">
            <w:rPr>
              <w:rFonts w:cs="Calibri"/>
              <w:sz w:val="24"/>
              <w:szCs w:val="24"/>
              <w:lang w:val="en-GB"/>
            </w:rPr>
            <w:t>Funds for the operation of the Commission are earmarked in the state budget and amounted to 6</w:t>
          </w:r>
          <w:r w:rsidR="00EF2A5D" w:rsidRPr="000D4A19">
            <w:rPr>
              <w:rFonts w:cs="Calibri"/>
              <w:sz w:val="24"/>
              <w:szCs w:val="24"/>
              <w:lang w:val="en-GB"/>
            </w:rPr>
            <w:t xml:space="preserve"> </w:t>
          </w:r>
          <w:r w:rsidRPr="000D4A19">
            <w:rPr>
              <w:rFonts w:cs="Calibri"/>
              <w:sz w:val="24"/>
              <w:szCs w:val="24"/>
              <w:lang w:val="en-GB"/>
            </w:rPr>
            <w:t>493</w:t>
          </w:r>
          <w:r w:rsidR="00EF2A5D" w:rsidRPr="000D4A19">
            <w:rPr>
              <w:rFonts w:cs="Calibri"/>
              <w:sz w:val="24"/>
              <w:szCs w:val="24"/>
              <w:lang w:val="en-GB"/>
            </w:rPr>
            <w:t xml:space="preserve"> </w:t>
          </w:r>
          <w:r w:rsidRPr="000D4A19">
            <w:rPr>
              <w:rFonts w:cs="Calibri"/>
              <w:sz w:val="24"/>
              <w:szCs w:val="24"/>
              <w:lang w:val="en-GB"/>
            </w:rPr>
            <w:t>939 HRK for 2019 (approximately 876</w:t>
          </w:r>
          <w:r w:rsidR="00EF2A5D" w:rsidRPr="000D4A19">
            <w:rPr>
              <w:rFonts w:cs="Calibri"/>
              <w:sz w:val="24"/>
              <w:szCs w:val="24"/>
              <w:lang w:val="en-GB"/>
            </w:rPr>
            <w:t xml:space="preserve"> </w:t>
          </w:r>
          <w:r w:rsidRPr="000D4A19">
            <w:rPr>
              <w:rFonts w:cs="Calibri"/>
              <w:sz w:val="24"/>
              <w:szCs w:val="24"/>
              <w:lang w:val="en-GB"/>
            </w:rPr>
            <w:t xml:space="preserve">000 EUR, with a budget of </w:t>
          </w:r>
          <w:r w:rsidR="00376285" w:rsidRPr="000D4A19">
            <w:rPr>
              <w:rFonts w:cs="Calibri"/>
              <w:sz w:val="24"/>
              <w:szCs w:val="24"/>
              <w:lang w:val="en-GB"/>
            </w:rPr>
            <w:t xml:space="preserve">7 810 718 </w:t>
          </w:r>
          <w:r w:rsidRPr="000D4A19">
            <w:rPr>
              <w:rFonts w:cs="Calibri"/>
              <w:sz w:val="24"/>
              <w:szCs w:val="24"/>
              <w:lang w:val="en-GB"/>
            </w:rPr>
            <w:t xml:space="preserve">HRK / approximately </w:t>
          </w:r>
          <w:r w:rsidR="00376285" w:rsidRPr="000D4A19">
            <w:rPr>
              <w:rFonts w:cs="Calibri"/>
              <w:sz w:val="24"/>
              <w:szCs w:val="24"/>
              <w:lang w:val="en-GB"/>
            </w:rPr>
            <w:t>1 054</w:t>
          </w:r>
          <w:r w:rsidR="00EF2A5D" w:rsidRPr="000D4A19">
            <w:rPr>
              <w:rFonts w:cs="Calibri"/>
              <w:sz w:val="24"/>
              <w:szCs w:val="24"/>
              <w:lang w:val="en-GB"/>
            </w:rPr>
            <w:t xml:space="preserve"> </w:t>
          </w:r>
          <w:r w:rsidRPr="000D4A19">
            <w:rPr>
              <w:rFonts w:cs="Calibri"/>
              <w:sz w:val="24"/>
              <w:szCs w:val="24"/>
              <w:lang w:val="en-GB"/>
            </w:rPr>
            <w:t>0</w:t>
          </w:r>
          <w:r w:rsidR="00376285" w:rsidRPr="000D4A19">
            <w:rPr>
              <w:rFonts w:cs="Calibri"/>
              <w:sz w:val="24"/>
              <w:szCs w:val="24"/>
              <w:lang w:val="en-GB"/>
            </w:rPr>
            <w:t>78</w:t>
          </w:r>
          <w:r w:rsidRPr="000D4A19">
            <w:rPr>
              <w:rFonts w:cs="Calibri"/>
              <w:sz w:val="24"/>
              <w:szCs w:val="24"/>
              <w:lang w:val="en-GB"/>
            </w:rPr>
            <w:t xml:space="preserve"> EUR projected for 2020). The Commission has a staff of twelve persons (</w:t>
          </w:r>
          <w:r w:rsidR="00E347EF">
            <w:rPr>
              <w:rFonts w:cs="Calibri"/>
              <w:sz w:val="24"/>
              <w:szCs w:val="24"/>
              <w:lang w:val="en-GB"/>
            </w:rPr>
            <w:t xml:space="preserve">to be further </w:t>
          </w:r>
          <w:r w:rsidRPr="000D4A19">
            <w:rPr>
              <w:rFonts w:cs="Calibri"/>
              <w:sz w:val="24"/>
              <w:szCs w:val="24"/>
              <w:lang w:val="en-GB"/>
            </w:rPr>
            <w:t>complemented with two advisors in 2019).</w:t>
          </w:r>
        </w:p>
        <w:p w14:paraId="766F538B" w14:textId="77777777" w:rsidR="00212B05" w:rsidRPr="000D4A19" w:rsidRDefault="00212B05" w:rsidP="00212B05">
          <w:pPr>
            <w:tabs>
              <w:tab w:val="num" w:pos="3403"/>
              <w:tab w:val="num" w:pos="8222"/>
            </w:tabs>
            <w:spacing w:after="0" w:line="240" w:lineRule="auto"/>
            <w:jc w:val="both"/>
            <w:rPr>
              <w:rFonts w:cs="Calibri"/>
              <w:i/>
              <w:sz w:val="24"/>
              <w:szCs w:val="24"/>
              <w:lang w:val="en-GB"/>
            </w:rPr>
          </w:pPr>
        </w:p>
        <w:p w14:paraId="19F238EB" w14:textId="6B96F95C" w:rsidR="00212B05" w:rsidRPr="000D4A19" w:rsidRDefault="00212B05" w:rsidP="00D974C8">
          <w:pPr>
            <w:numPr>
              <w:ilvl w:val="0"/>
              <w:numId w:val="1"/>
            </w:numPr>
            <w:tabs>
              <w:tab w:val="num" w:pos="681"/>
              <w:tab w:val="num" w:pos="1557"/>
              <w:tab w:val="num" w:pos="8222"/>
            </w:tabs>
            <w:spacing w:after="0" w:line="240" w:lineRule="auto"/>
            <w:ind w:left="0" w:firstLine="0"/>
            <w:jc w:val="both"/>
            <w:rPr>
              <w:rFonts w:cs="Calibri"/>
              <w:i/>
              <w:color w:val="FF0000"/>
              <w:sz w:val="24"/>
              <w:szCs w:val="24"/>
              <w:lang w:val="en-GB"/>
            </w:rPr>
          </w:pPr>
          <w:r w:rsidRPr="000D4A19">
            <w:rPr>
              <w:rFonts w:cs="Calibri"/>
              <w:sz w:val="24"/>
              <w:szCs w:val="24"/>
              <w:lang w:val="en-GB"/>
            </w:rPr>
            <w:t xml:space="preserve">With particular reference to the asset and income disclosure regime, the Commission is responsible for receiving, reviewing and storing financial declarations. The Commission performs two types of checks: (i) a </w:t>
          </w:r>
          <w:r w:rsidRPr="000D4A19">
            <w:rPr>
              <w:rFonts w:cs="Calibri"/>
              <w:sz w:val="24"/>
              <w:szCs w:val="24"/>
              <w:u w:val="single"/>
              <w:lang w:val="en-GB"/>
            </w:rPr>
            <w:t>pro-forma or “preliminary / administrative” check</w:t>
          </w:r>
          <w:r w:rsidRPr="000D4A19">
            <w:rPr>
              <w:rFonts w:cs="Calibri"/>
              <w:sz w:val="24"/>
              <w:szCs w:val="24"/>
              <w:lang w:val="en-GB"/>
            </w:rPr>
            <w:t>, which is done immediately after receiving the declaration and looks into whether an official is required to submit a declaration (i.e. whether all officials who are required to do so have submitted a declaration), and if the declaration was submitted on time, was signed and was correctly filled in and completed; and (ii) a “</w:t>
          </w:r>
          <w:r w:rsidRPr="000D4A19">
            <w:rPr>
              <w:rFonts w:cs="Calibri"/>
              <w:sz w:val="24"/>
              <w:szCs w:val="24"/>
              <w:u w:val="single"/>
              <w:lang w:val="en-GB"/>
            </w:rPr>
            <w:t>regular check</w:t>
          </w:r>
          <w:r w:rsidRPr="000D4A19">
            <w:rPr>
              <w:rFonts w:cs="Calibri"/>
              <w:sz w:val="24"/>
              <w:szCs w:val="24"/>
              <w:lang w:val="en-GB"/>
            </w:rPr>
            <w:t>”, which cross checks the data in the declaration with information held with other authorities (e.g. tax administration, land registry, court registries, etc.) (Article 24, LCI). For the purpose of checking data from the declaration, the competent authorities are required to submit the requested information to the Commission without delay.</w:t>
          </w:r>
        </w:p>
        <w:p w14:paraId="12D68FDC" w14:textId="77777777" w:rsidR="00D974C8" w:rsidRPr="000D4A19" w:rsidRDefault="00D974C8" w:rsidP="00D974C8">
          <w:pPr>
            <w:tabs>
              <w:tab w:val="num" w:pos="3403"/>
              <w:tab w:val="num" w:pos="8222"/>
            </w:tabs>
            <w:spacing w:after="0" w:line="240" w:lineRule="auto"/>
            <w:jc w:val="both"/>
            <w:rPr>
              <w:rFonts w:cs="Calibri"/>
              <w:i/>
              <w:color w:val="FF0000"/>
              <w:sz w:val="24"/>
              <w:szCs w:val="24"/>
              <w:lang w:val="en-GB"/>
            </w:rPr>
          </w:pPr>
        </w:p>
        <w:p w14:paraId="596E5B2B" w14:textId="19E92D8B" w:rsidR="00756FEC" w:rsidRPr="000D4A19" w:rsidRDefault="00296AB7" w:rsidP="00756FEC">
          <w:pPr>
            <w:numPr>
              <w:ilvl w:val="0"/>
              <w:numId w:val="1"/>
            </w:numPr>
            <w:tabs>
              <w:tab w:val="num" w:pos="681"/>
              <w:tab w:val="num" w:pos="1557"/>
              <w:tab w:val="num" w:pos="8222"/>
            </w:tabs>
            <w:spacing w:after="0" w:line="240" w:lineRule="auto"/>
            <w:ind w:left="0" w:firstLine="0"/>
            <w:jc w:val="both"/>
            <w:rPr>
              <w:rFonts w:cs="Calibri"/>
              <w:sz w:val="24"/>
              <w:szCs w:val="24"/>
              <w:lang w:val="en-GB"/>
            </w:rPr>
          </w:pPr>
          <w:r w:rsidRPr="000D4A19">
            <w:rPr>
              <w:rFonts w:cs="Calibri"/>
              <w:sz w:val="24"/>
              <w:szCs w:val="24"/>
              <w:lang w:val="en-GB"/>
            </w:rPr>
            <w:t>The checks by the Commission have been facilitated by a significant upgrade of the IT-system in re</w:t>
          </w:r>
          <w:r w:rsidR="00323259" w:rsidRPr="000D4A19">
            <w:rPr>
              <w:rFonts w:cs="Calibri"/>
              <w:sz w:val="24"/>
              <w:szCs w:val="24"/>
              <w:lang w:val="en-GB"/>
            </w:rPr>
            <w:t xml:space="preserve">cent years. </w:t>
          </w:r>
          <w:r w:rsidR="00BC04B1" w:rsidRPr="000D4A19">
            <w:rPr>
              <w:rFonts w:cs="Calibri"/>
              <w:sz w:val="24"/>
              <w:szCs w:val="24"/>
              <w:lang w:val="en-GB"/>
            </w:rPr>
            <w:t>The GET heard that t</w:t>
          </w:r>
          <w:r w:rsidR="002E0539" w:rsidRPr="000D4A19">
            <w:rPr>
              <w:rFonts w:cs="Calibri"/>
              <w:sz w:val="24"/>
              <w:szCs w:val="24"/>
              <w:lang w:val="en-GB"/>
            </w:rPr>
            <w:t>here are</w:t>
          </w:r>
          <w:r w:rsidR="00EF2A5D" w:rsidRPr="000D4A19">
            <w:rPr>
              <w:rFonts w:cs="Calibri"/>
              <w:sz w:val="24"/>
              <w:szCs w:val="24"/>
              <w:lang w:val="en-GB"/>
            </w:rPr>
            <w:t>,</w:t>
          </w:r>
          <w:r w:rsidR="002E0539" w:rsidRPr="000D4A19">
            <w:rPr>
              <w:rFonts w:cs="Calibri"/>
              <w:sz w:val="24"/>
              <w:szCs w:val="24"/>
              <w:lang w:val="en-GB"/>
            </w:rPr>
            <w:t xml:space="preserve"> furthermore</w:t>
          </w:r>
          <w:r w:rsidR="00EF2A5D" w:rsidRPr="000D4A19">
            <w:rPr>
              <w:rFonts w:cs="Calibri"/>
              <w:sz w:val="24"/>
              <w:szCs w:val="24"/>
              <w:lang w:val="en-GB"/>
            </w:rPr>
            <w:t>,</w:t>
          </w:r>
          <w:r w:rsidR="002E0539" w:rsidRPr="000D4A19">
            <w:rPr>
              <w:rFonts w:cs="Calibri"/>
              <w:sz w:val="24"/>
              <w:szCs w:val="24"/>
              <w:lang w:val="en-GB"/>
            </w:rPr>
            <w:t xml:space="preserve"> plans to set up a new department for the abovementioned “regular checks”, to increase the efficiency and efficacy of these checks. </w:t>
          </w:r>
          <w:r w:rsidR="00756FEC" w:rsidRPr="000D4A19">
            <w:rPr>
              <w:rFonts w:cs="Calibri"/>
              <w:sz w:val="24"/>
              <w:szCs w:val="24"/>
              <w:lang w:val="en-GB"/>
            </w:rPr>
            <w:t>Currently only around 50 officials (out of approximately 3</w:t>
          </w:r>
          <w:r w:rsidR="00EF2A5D" w:rsidRPr="000D4A19">
            <w:rPr>
              <w:rFonts w:cs="Calibri"/>
              <w:sz w:val="24"/>
              <w:szCs w:val="24"/>
              <w:lang w:val="en-GB"/>
            </w:rPr>
            <w:t xml:space="preserve"> </w:t>
          </w:r>
          <w:r w:rsidR="00756FEC" w:rsidRPr="000D4A19">
            <w:rPr>
              <w:rFonts w:cs="Calibri"/>
              <w:sz w:val="24"/>
              <w:szCs w:val="24"/>
              <w:lang w:val="en-GB"/>
            </w:rPr>
            <w:t xml:space="preserve">500 officials subject to the provisions of the LCI) are subject to a “regular check”. In this connection, members of the government are perhaps not a priority, as the information in their </w:t>
          </w:r>
          <w:r w:rsidR="00BF182A">
            <w:rPr>
              <w:rFonts w:cs="Calibri"/>
              <w:sz w:val="24"/>
              <w:szCs w:val="24"/>
              <w:lang w:val="en-GB"/>
            </w:rPr>
            <w:t>financial</w:t>
          </w:r>
          <w:r w:rsidR="00756FEC" w:rsidRPr="000D4A19">
            <w:rPr>
              <w:rFonts w:cs="Calibri"/>
              <w:sz w:val="24"/>
              <w:szCs w:val="24"/>
              <w:lang w:val="en-GB"/>
            </w:rPr>
            <w:t xml:space="preserve"> declarations would already be scrutinised by the media. The GET encourages the Commission to develop a methodology to select the most pressing declarations to undergo a “regular check”, as based on an assessment of risks. </w:t>
          </w:r>
        </w:p>
        <w:p w14:paraId="13B835BB" w14:textId="77777777" w:rsidR="00756FEC" w:rsidRPr="000D4A19" w:rsidRDefault="00756FEC" w:rsidP="00756FEC">
          <w:pPr>
            <w:tabs>
              <w:tab w:val="num" w:pos="3403"/>
              <w:tab w:val="num" w:pos="8222"/>
            </w:tabs>
            <w:spacing w:after="0" w:line="240" w:lineRule="auto"/>
            <w:jc w:val="both"/>
            <w:rPr>
              <w:rFonts w:cstheme="minorHAnsi"/>
              <w:i/>
              <w:sz w:val="24"/>
              <w:szCs w:val="24"/>
              <w:lang w:val="en-GB"/>
            </w:rPr>
          </w:pPr>
        </w:p>
        <w:p w14:paraId="69CEBC0D" w14:textId="2184EF5C" w:rsidR="0010211F" w:rsidRPr="000D4A19" w:rsidRDefault="00323259" w:rsidP="006C1311">
          <w:pPr>
            <w:numPr>
              <w:ilvl w:val="0"/>
              <w:numId w:val="1"/>
            </w:numPr>
            <w:tabs>
              <w:tab w:val="num" w:pos="681"/>
              <w:tab w:val="num" w:pos="1557"/>
              <w:tab w:val="num" w:pos="8222"/>
            </w:tabs>
            <w:spacing w:after="0" w:line="240" w:lineRule="auto"/>
            <w:ind w:left="0" w:firstLine="0"/>
            <w:jc w:val="both"/>
            <w:rPr>
              <w:rFonts w:cstheme="minorHAnsi"/>
              <w:i/>
              <w:sz w:val="24"/>
              <w:szCs w:val="24"/>
              <w:lang w:val="en-GB"/>
            </w:rPr>
          </w:pPr>
          <w:r w:rsidRPr="000D4A19">
            <w:rPr>
              <w:rFonts w:cs="Calibri"/>
              <w:sz w:val="24"/>
              <w:szCs w:val="24"/>
              <w:lang w:val="en-GB"/>
            </w:rPr>
            <w:t xml:space="preserve">In checking the data of the </w:t>
          </w:r>
          <w:r w:rsidR="00BF182A">
            <w:rPr>
              <w:rFonts w:cs="Calibri"/>
              <w:sz w:val="24"/>
              <w:szCs w:val="24"/>
              <w:lang w:val="en-GB"/>
            </w:rPr>
            <w:t>financial</w:t>
          </w:r>
          <w:r w:rsidRPr="000D4A19">
            <w:rPr>
              <w:rFonts w:cs="Calibri"/>
              <w:sz w:val="24"/>
              <w:szCs w:val="24"/>
              <w:lang w:val="en-GB"/>
            </w:rPr>
            <w:t xml:space="preserve"> declarations, the Commission is dependent on information sent to it by other authorities</w:t>
          </w:r>
          <w:r w:rsidR="002E0539" w:rsidRPr="000D4A19">
            <w:rPr>
              <w:rFonts w:cs="Calibri"/>
              <w:sz w:val="24"/>
              <w:szCs w:val="24"/>
              <w:lang w:val="en-GB"/>
            </w:rPr>
            <w:t>, when it requests them to do so</w:t>
          </w:r>
          <w:r w:rsidRPr="000D4A19">
            <w:rPr>
              <w:rFonts w:cs="Calibri"/>
              <w:sz w:val="24"/>
              <w:szCs w:val="24"/>
              <w:lang w:val="en-GB"/>
            </w:rPr>
            <w:t xml:space="preserve">. </w:t>
          </w:r>
          <w:r w:rsidR="00434583" w:rsidRPr="000D4A19">
            <w:rPr>
              <w:rFonts w:cs="Calibri"/>
              <w:sz w:val="24"/>
              <w:szCs w:val="24"/>
              <w:lang w:val="en-GB"/>
            </w:rPr>
            <w:t>I</w:t>
          </w:r>
          <w:r w:rsidR="002E0539" w:rsidRPr="000D4A19">
            <w:rPr>
              <w:rFonts w:cs="Calibri"/>
              <w:sz w:val="24"/>
              <w:szCs w:val="24"/>
              <w:lang w:val="en-GB"/>
            </w:rPr>
            <w:t xml:space="preserve">t </w:t>
          </w:r>
          <w:r w:rsidRPr="000D4A19">
            <w:rPr>
              <w:rFonts w:cs="Calibri"/>
              <w:sz w:val="24"/>
              <w:szCs w:val="24"/>
              <w:lang w:val="en-GB"/>
            </w:rPr>
            <w:t xml:space="preserve">also has a direct connection to </w:t>
          </w:r>
          <w:r w:rsidR="00434583" w:rsidRPr="000D4A19">
            <w:rPr>
              <w:rFonts w:cs="Calibri"/>
              <w:sz w:val="24"/>
              <w:szCs w:val="24"/>
              <w:lang w:val="en-GB"/>
            </w:rPr>
            <w:t xml:space="preserve">certain other </w:t>
          </w:r>
          <w:r w:rsidRPr="000D4A19">
            <w:rPr>
              <w:rFonts w:cs="Calibri"/>
              <w:sz w:val="24"/>
              <w:szCs w:val="24"/>
              <w:lang w:val="en-GB"/>
            </w:rPr>
            <w:t>databases (such as those of the tax authorities and the Ministry of the Interior). Following</w:t>
          </w:r>
          <w:r w:rsidRPr="000D4A19">
            <w:rPr>
              <w:rFonts w:cs="Calibri"/>
              <w:i/>
              <w:sz w:val="24"/>
              <w:szCs w:val="24"/>
              <w:lang w:val="en-GB"/>
            </w:rPr>
            <w:t xml:space="preserve"> </w:t>
          </w:r>
          <w:r w:rsidR="00296AB7" w:rsidRPr="000D4A19">
            <w:rPr>
              <w:rFonts w:cs="Calibri"/>
              <w:sz w:val="24"/>
              <w:szCs w:val="24"/>
              <w:lang w:val="en-GB"/>
            </w:rPr>
            <w:t>a judgment of the Constitutional Court in November 2012, which annulled some of the attributions of the Commission</w:t>
          </w:r>
          <w:r w:rsidR="00D4610D" w:rsidRPr="000D4A19">
            <w:rPr>
              <w:rFonts w:cs="Calibri"/>
              <w:sz w:val="24"/>
              <w:szCs w:val="24"/>
              <w:lang w:val="en-GB"/>
            </w:rPr>
            <w:t xml:space="preserve"> (</w:t>
          </w:r>
          <w:r w:rsidR="00BC04B1" w:rsidRPr="000D4A19">
            <w:rPr>
              <w:rFonts w:cs="Calibri"/>
              <w:sz w:val="24"/>
              <w:szCs w:val="24"/>
              <w:lang w:val="en-GB"/>
            </w:rPr>
            <w:t xml:space="preserve">i.e. it </w:t>
          </w:r>
          <w:r w:rsidR="00D4610D" w:rsidRPr="000D4A19">
            <w:rPr>
              <w:rFonts w:cs="Calibri"/>
              <w:sz w:val="24"/>
              <w:szCs w:val="24"/>
              <w:lang w:val="en-GB"/>
            </w:rPr>
            <w:t>ruled that</w:t>
          </w:r>
          <w:r w:rsidR="007C2108" w:rsidRPr="000D4A19">
            <w:rPr>
              <w:rFonts w:cs="Calibri"/>
              <w:sz w:val="24"/>
              <w:szCs w:val="24"/>
              <w:lang w:val="en-GB"/>
            </w:rPr>
            <w:t xml:space="preserve"> the LCI incorrectly equated conflicts of interest with criminal behaviour and</w:t>
          </w:r>
          <w:r w:rsidR="00BC04B1" w:rsidRPr="000D4A19">
            <w:rPr>
              <w:rFonts w:cs="Calibri"/>
              <w:sz w:val="24"/>
              <w:szCs w:val="24"/>
              <w:lang w:val="en-GB"/>
            </w:rPr>
            <w:t xml:space="preserve"> wrongly</w:t>
          </w:r>
          <w:r w:rsidR="007C2108" w:rsidRPr="000D4A19">
            <w:rPr>
              <w:rFonts w:cs="Calibri"/>
              <w:sz w:val="24"/>
              <w:szCs w:val="24"/>
              <w:lang w:val="en-GB"/>
            </w:rPr>
            <w:t xml:space="preserve"> vested the Commission with powers which are inherent to the prosecution of criminal activity)</w:t>
          </w:r>
          <w:r w:rsidR="00296AB7" w:rsidRPr="000D4A19">
            <w:rPr>
              <w:rFonts w:cs="Calibri"/>
              <w:sz w:val="24"/>
              <w:szCs w:val="24"/>
              <w:lang w:val="en-GB"/>
            </w:rPr>
            <w:t xml:space="preserve">, </w:t>
          </w:r>
          <w:r w:rsidR="007C2108" w:rsidRPr="000D4A19">
            <w:rPr>
              <w:rFonts w:cs="Calibri"/>
              <w:sz w:val="24"/>
              <w:szCs w:val="24"/>
              <w:lang w:val="en-GB"/>
            </w:rPr>
            <w:t xml:space="preserve">the Commission no longer has access </w:t>
          </w:r>
          <w:r w:rsidR="00EF2A5D" w:rsidRPr="000D4A19">
            <w:rPr>
              <w:rFonts w:cs="Calibri"/>
              <w:sz w:val="24"/>
              <w:szCs w:val="24"/>
              <w:lang w:val="en-GB"/>
            </w:rPr>
            <w:t xml:space="preserve">to </w:t>
          </w:r>
          <w:r w:rsidR="007C2108" w:rsidRPr="000D4A19">
            <w:rPr>
              <w:rFonts w:cs="Calibri"/>
              <w:sz w:val="24"/>
              <w:szCs w:val="24"/>
              <w:lang w:val="en-GB"/>
            </w:rPr>
            <w:t>banking information on officials. As there is no capital tax in Croatia, the Commission can</w:t>
          </w:r>
          <w:r w:rsidRPr="000D4A19">
            <w:rPr>
              <w:rFonts w:cs="Calibri"/>
              <w:sz w:val="24"/>
              <w:szCs w:val="24"/>
              <w:lang w:val="en-GB"/>
            </w:rPr>
            <w:t xml:space="preserve"> thus</w:t>
          </w:r>
          <w:r w:rsidR="00E347EF">
            <w:rPr>
              <w:rFonts w:cs="Calibri"/>
              <w:sz w:val="24"/>
              <w:szCs w:val="24"/>
              <w:lang w:val="en-GB"/>
            </w:rPr>
            <w:t xml:space="preserve"> for example</w:t>
          </w:r>
          <w:r w:rsidRPr="000D4A19">
            <w:rPr>
              <w:rFonts w:cs="Calibri"/>
              <w:sz w:val="24"/>
              <w:szCs w:val="24"/>
              <w:lang w:val="en-GB"/>
            </w:rPr>
            <w:t xml:space="preserve"> </w:t>
          </w:r>
          <w:r w:rsidR="007C2108" w:rsidRPr="000D4A19">
            <w:rPr>
              <w:rFonts w:cs="Calibri"/>
              <w:sz w:val="24"/>
              <w:szCs w:val="24"/>
              <w:lang w:val="en-GB"/>
            </w:rPr>
            <w:t xml:space="preserve">not check </w:t>
          </w:r>
          <w:r w:rsidRPr="000D4A19">
            <w:rPr>
              <w:rFonts w:cs="Calibri"/>
              <w:sz w:val="24"/>
              <w:szCs w:val="24"/>
              <w:lang w:val="en-GB"/>
            </w:rPr>
            <w:t xml:space="preserve">data on </w:t>
          </w:r>
          <w:r w:rsidR="007C2108" w:rsidRPr="000D4A19">
            <w:rPr>
              <w:rFonts w:cs="Calibri"/>
              <w:sz w:val="24"/>
              <w:szCs w:val="24"/>
              <w:lang w:val="en-GB"/>
            </w:rPr>
            <w:t>savings</w:t>
          </w:r>
          <w:r w:rsidR="00BC04B1" w:rsidRPr="000D4A19">
            <w:rPr>
              <w:rFonts w:cs="Calibri"/>
              <w:sz w:val="24"/>
              <w:szCs w:val="24"/>
              <w:lang w:val="en-GB"/>
            </w:rPr>
            <w:t xml:space="preserve"> of officials</w:t>
          </w:r>
          <w:r w:rsidR="007C2108" w:rsidRPr="000D4A19">
            <w:rPr>
              <w:rFonts w:cs="Calibri"/>
              <w:sz w:val="24"/>
              <w:szCs w:val="24"/>
              <w:lang w:val="en-GB"/>
            </w:rPr>
            <w:t xml:space="preserve">. </w:t>
          </w:r>
          <w:r w:rsidR="00434583" w:rsidRPr="000D4A19">
            <w:rPr>
              <w:rFonts w:cs="Calibri"/>
              <w:sz w:val="24"/>
              <w:szCs w:val="24"/>
              <w:lang w:val="en-GB"/>
            </w:rPr>
            <w:t xml:space="preserve">In this connection, the GET would find it helpful </w:t>
          </w:r>
          <w:r w:rsidR="00756FEC" w:rsidRPr="000D4A19">
            <w:rPr>
              <w:rFonts w:cs="Calibri"/>
              <w:sz w:val="24"/>
              <w:szCs w:val="24"/>
              <w:lang w:val="en-GB"/>
            </w:rPr>
            <w:t xml:space="preserve">that other ways be </w:t>
          </w:r>
          <w:r w:rsidR="00434583" w:rsidRPr="000D4A19">
            <w:rPr>
              <w:rFonts w:cs="Calibri"/>
              <w:sz w:val="24"/>
              <w:szCs w:val="24"/>
              <w:lang w:val="en-GB"/>
            </w:rPr>
            <w:t>explored in which the Commission can obtain a more complete picture of the fin</w:t>
          </w:r>
          <w:r w:rsidR="00756FEC" w:rsidRPr="000D4A19">
            <w:rPr>
              <w:rFonts w:cs="Calibri"/>
              <w:sz w:val="24"/>
              <w:szCs w:val="24"/>
              <w:lang w:val="en-GB"/>
            </w:rPr>
            <w:t xml:space="preserve">ancial situation of officials, in appropriate cases </w:t>
          </w:r>
          <w:r w:rsidR="00376285" w:rsidRPr="000D4A19">
            <w:rPr>
              <w:rFonts w:cs="Calibri"/>
              <w:sz w:val="24"/>
              <w:szCs w:val="24"/>
              <w:lang w:val="en-GB"/>
            </w:rPr>
            <w:t xml:space="preserve">within the parameters set by the Constitutional Court decision </w:t>
          </w:r>
          <w:r w:rsidR="00756FEC" w:rsidRPr="000D4A19">
            <w:rPr>
              <w:rFonts w:cs="Calibri"/>
              <w:sz w:val="24"/>
              <w:szCs w:val="24"/>
              <w:lang w:val="en-GB"/>
            </w:rPr>
            <w:t xml:space="preserve">(for example, through more intensive co-operation with tax authorities). </w:t>
          </w:r>
          <w:r w:rsidR="00434583" w:rsidRPr="000D4A19">
            <w:rPr>
              <w:rFonts w:cs="Calibri"/>
              <w:sz w:val="24"/>
              <w:szCs w:val="24"/>
              <w:lang w:val="en-GB"/>
            </w:rPr>
            <w:t xml:space="preserve"> </w:t>
          </w:r>
        </w:p>
        <w:p w14:paraId="2F916ABE" w14:textId="77777777" w:rsidR="0010211F" w:rsidRPr="000D4A19" w:rsidRDefault="0010211F" w:rsidP="0010211F">
          <w:pPr>
            <w:tabs>
              <w:tab w:val="num" w:pos="3403"/>
              <w:tab w:val="num" w:pos="8222"/>
            </w:tabs>
            <w:spacing w:after="0" w:line="240" w:lineRule="auto"/>
            <w:jc w:val="both"/>
            <w:rPr>
              <w:rFonts w:cstheme="minorHAnsi"/>
              <w:i/>
              <w:sz w:val="24"/>
              <w:szCs w:val="24"/>
              <w:lang w:val="en-GB"/>
            </w:rPr>
          </w:pPr>
        </w:p>
        <w:p w14:paraId="3441F907" w14:textId="66320F46" w:rsidR="00B70B8C" w:rsidRPr="000D4A19" w:rsidRDefault="00077622" w:rsidP="003F5DF0">
          <w:pPr>
            <w:numPr>
              <w:ilvl w:val="0"/>
              <w:numId w:val="1"/>
            </w:numPr>
            <w:tabs>
              <w:tab w:val="num" w:pos="681"/>
              <w:tab w:val="num" w:pos="1557"/>
              <w:tab w:val="num" w:pos="8222"/>
            </w:tabs>
            <w:spacing w:after="0" w:line="240" w:lineRule="auto"/>
            <w:ind w:left="0" w:firstLine="0"/>
            <w:jc w:val="both"/>
            <w:rPr>
              <w:rFonts w:cs="Calibri"/>
              <w:sz w:val="24"/>
              <w:szCs w:val="24"/>
              <w:lang w:val="en-GB"/>
            </w:rPr>
          </w:pPr>
          <w:r w:rsidRPr="000D4A19">
            <w:rPr>
              <w:rFonts w:cs="Calibri"/>
              <w:sz w:val="24"/>
              <w:szCs w:val="24"/>
              <w:lang w:val="en-GB"/>
            </w:rPr>
            <w:t xml:space="preserve">Certain </w:t>
          </w:r>
          <w:r w:rsidR="00933AF5" w:rsidRPr="000D4A19">
            <w:rPr>
              <w:rFonts w:cs="Calibri"/>
              <w:sz w:val="24"/>
              <w:szCs w:val="24"/>
              <w:lang w:val="en-GB"/>
            </w:rPr>
            <w:t xml:space="preserve">other </w:t>
          </w:r>
          <w:r w:rsidRPr="000D4A19">
            <w:rPr>
              <w:rFonts w:cs="Calibri"/>
              <w:sz w:val="24"/>
              <w:szCs w:val="24"/>
              <w:lang w:val="en-GB"/>
            </w:rPr>
            <w:t xml:space="preserve">information the Commission would need </w:t>
          </w:r>
          <w:r w:rsidR="00933AF5" w:rsidRPr="000D4A19">
            <w:rPr>
              <w:rFonts w:cs="Calibri"/>
              <w:sz w:val="24"/>
              <w:szCs w:val="24"/>
              <w:lang w:val="en-GB"/>
            </w:rPr>
            <w:t xml:space="preserve">in order </w:t>
          </w:r>
          <w:r w:rsidRPr="000D4A19">
            <w:rPr>
              <w:rFonts w:cs="Calibri"/>
              <w:sz w:val="24"/>
              <w:szCs w:val="24"/>
              <w:lang w:val="en-GB"/>
            </w:rPr>
            <w:t xml:space="preserve">to carry out its work is not easy to access, </w:t>
          </w:r>
          <w:r w:rsidR="00933AF5" w:rsidRPr="000D4A19">
            <w:rPr>
              <w:rFonts w:cs="Calibri"/>
              <w:i/>
              <w:sz w:val="24"/>
              <w:szCs w:val="24"/>
              <w:lang w:val="en-GB"/>
            </w:rPr>
            <w:t xml:space="preserve">inter alia </w:t>
          </w:r>
          <w:r w:rsidR="00933AF5" w:rsidRPr="000D4A19">
            <w:rPr>
              <w:rFonts w:cs="Calibri"/>
              <w:sz w:val="24"/>
              <w:szCs w:val="24"/>
              <w:lang w:val="en-GB"/>
            </w:rPr>
            <w:t xml:space="preserve">because </w:t>
          </w:r>
          <w:r w:rsidRPr="000D4A19">
            <w:rPr>
              <w:rFonts w:cs="Calibri"/>
              <w:sz w:val="24"/>
              <w:szCs w:val="24"/>
              <w:lang w:val="en-GB"/>
            </w:rPr>
            <w:t xml:space="preserve">it is outdated or hampered by officials’ refusal to hand </w:t>
          </w:r>
          <w:r w:rsidR="00D33AD2" w:rsidRPr="000D4A19">
            <w:rPr>
              <w:rFonts w:cs="Calibri"/>
              <w:sz w:val="24"/>
              <w:szCs w:val="24"/>
              <w:lang w:val="en-GB"/>
            </w:rPr>
            <w:t xml:space="preserve">it </w:t>
          </w:r>
          <w:r w:rsidRPr="000D4A19">
            <w:rPr>
              <w:rFonts w:cs="Calibri"/>
              <w:sz w:val="24"/>
              <w:szCs w:val="24"/>
              <w:lang w:val="en-GB"/>
            </w:rPr>
            <w:t xml:space="preserve">over. </w:t>
          </w:r>
          <w:r w:rsidR="00D4610D" w:rsidRPr="000D4A19">
            <w:rPr>
              <w:rFonts w:cs="Calibri"/>
              <w:sz w:val="24"/>
              <w:szCs w:val="24"/>
              <w:lang w:val="en-GB"/>
            </w:rPr>
            <w:t xml:space="preserve">For example, </w:t>
          </w:r>
          <w:r w:rsidR="005B41F6" w:rsidRPr="000D4A19">
            <w:rPr>
              <w:rFonts w:cs="Calibri"/>
              <w:sz w:val="24"/>
              <w:szCs w:val="24"/>
              <w:lang w:val="en-GB"/>
            </w:rPr>
            <w:t>the GET heard about the Ministry of Interior re</w:t>
          </w:r>
          <w:r w:rsidR="004B0D75" w:rsidRPr="000D4A19">
            <w:rPr>
              <w:rFonts w:cs="Calibri"/>
              <w:sz w:val="24"/>
              <w:szCs w:val="24"/>
              <w:lang w:val="en-GB"/>
            </w:rPr>
            <w:t xml:space="preserve">ferring to </w:t>
          </w:r>
          <w:r w:rsidR="005B41F6" w:rsidRPr="000D4A19">
            <w:rPr>
              <w:rFonts w:cs="Calibri"/>
              <w:sz w:val="24"/>
              <w:szCs w:val="24"/>
              <w:lang w:val="en-GB"/>
            </w:rPr>
            <w:t xml:space="preserve">“official secrecy” provisions </w:t>
          </w:r>
          <w:r w:rsidR="00EF2A5D" w:rsidRPr="000D4A19">
            <w:rPr>
              <w:rFonts w:cs="Calibri"/>
              <w:sz w:val="24"/>
              <w:szCs w:val="24"/>
              <w:lang w:val="en-GB"/>
            </w:rPr>
            <w:t>when</w:t>
          </w:r>
          <w:r w:rsidR="004B0D75" w:rsidRPr="000D4A19">
            <w:rPr>
              <w:rFonts w:cs="Calibri"/>
              <w:sz w:val="24"/>
              <w:szCs w:val="24"/>
              <w:lang w:val="en-GB"/>
            </w:rPr>
            <w:t xml:space="preserve"> </w:t>
          </w:r>
          <w:r w:rsidR="005B41F6" w:rsidRPr="000D4A19">
            <w:rPr>
              <w:rFonts w:cs="Calibri"/>
              <w:sz w:val="24"/>
              <w:szCs w:val="24"/>
              <w:lang w:val="en-GB"/>
            </w:rPr>
            <w:t xml:space="preserve">refusing to hand over </w:t>
          </w:r>
          <w:r w:rsidR="00603AAD" w:rsidRPr="000D4A19">
            <w:rPr>
              <w:rFonts w:cs="Calibri"/>
              <w:sz w:val="24"/>
              <w:szCs w:val="24"/>
              <w:lang w:val="en-GB"/>
            </w:rPr>
            <w:t xml:space="preserve">certain </w:t>
          </w:r>
          <w:r w:rsidR="005B41F6" w:rsidRPr="000D4A19">
            <w:rPr>
              <w:rFonts w:cs="Calibri"/>
              <w:sz w:val="24"/>
              <w:szCs w:val="24"/>
              <w:lang w:val="en-GB"/>
            </w:rPr>
            <w:t>information</w:t>
          </w:r>
          <w:r w:rsidR="00376285" w:rsidRPr="000D4A19">
            <w:rPr>
              <w:rFonts w:cs="Calibri"/>
              <w:sz w:val="24"/>
              <w:szCs w:val="24"/>
              <w:lang w:val="en-GB"/>
            </w:rPr>
            <w:t xml:space="preserve"> and the explicit refusal of certain high-level officials to submit documentation requested by the Commis</w:t>
          </w:r>
          <w:r w:rsidR="004D24A0" w:rsidRPr="000D4A19">
            <w:rPr>
              <w:rFonts w:cs="Calibri"/>
              <w:sz w:val="24"/>
              <w:szCs w:val="24"/>
              <w:lang w:val="en-GB"/>
            </w:rPr>
            <w:t>s</w:t>
          </w:r>
          <w:r w:rsidR="00376285" w:rsidRPr="000D4A19">
            <w:rPr>
              <w:rFonts w:cs="Calibri"/>
              <w:sz w:val="24"/>
              <w:szCs w:val="24"/>
              <w:lang w:val="en-GB"/>
            </w:rPr>
            <w:t>ion</w:t>
          </w:r>
          <w:r w:rsidR="00D33AD2" w:rsidRPr="000D4A19">
            <w:rPr>
              <w:rFonts w:cs="Calibri"/>
              <w:sz w:val="24"/>
              <w:szCs w:val="24"/>
              <w:lang w:val="en-GB"/>
            </w:rPr>
            <w:t xml:space="preserve">. </w:t>
          </w:r>
          <w:r w:rsidR="002E0539" w:rsidRPr="000D4A19">
            <w:rPr>
              <w:rFonts w:cs="Calibri"/>
              <w:sz w:val="24"/>
              <w:szCs w:val="24"/>
              <w:lang w:val="en-GB"/>
            </w:rPr>
            <w:t xml:space="preserve">Representatives of the Commission </w:t>
          </w:r>
          <w:r w:rsidR="007C2108" w:rsidRPr="000D4A19">
            <w:rPr>
              <w:rFonts w:cs="Calibri"/>
              <w:sz w:val="24"/>
              <w:szCs w:val="24"/>
              <w:lang w:val="en-GB"/>
            </w:rPr>
            <w:t xml:space="preserve">reportedly </w:t>
          </w:r>
          <w:r w:rsidR="002E0539" w:rsidRPr="000D4A19">
            <w:rPr>
              <w:rFonts w:cs="Calibri"/>
              <w:sz w:val="24"/>
              <w:szCs w:val="24"/>
              <w:lang w:val="en-GB"/>
            </w:rPr>
            <w:t xml:space="preserve">have </w:t>
          </w:r>
          <w:r w:rsidR="007C2108" w:rsidRPr="000D4A19">
            <w:rPr>
              <w:rFonts w:cs="Calibri"/>
              <w:sz w:val="24"/>
              <w:szCs w:val="24"/>
              <w:lang w:val="en-GB"/>
            </w:rPr>
            <w:t xml:space="preserve">no authority </w:t>
          </w:r>
          <w:r w:rsidR="00323259" w:rsidRPr="000D4A19">
            <w:rPr>
              <w:rFonts w:cs="Calibri"/>
              <w:sz w:val="24"/>
              <w:szCs w:val="24"/>
              <w:lang w:val="en-GB"/>
            </w:rPr>
            <w:t>to</w:t>
          </w:r>
          <w:r w:rsidR="006C1311" w:rsidRPr="000D4A19">
            <w:rPr>
              <w:rFonts w:cs="Calibri"/>
              <w:sz w:val="24"/>
              <w:szCs w:val="24"/>
              <w:lang w:val="en-GB"/>
            </w:rPr>
            <w:t xml:space="preserve"> go on-site to double-check information. Notwithstanding the </w:t>
          </w:r>
          <w:r w:rsidR="00D33AD2" w:rsidRPr="000D4A19">
            <w:rPr>
              <w:rFonts w:cs="Calibri"/>
              <w:sz w:val="24"/>
              <w:szCs w:val="24"/>
              <w:lang w:val="en-GB"/>
            </w:rPr>
            <w:t>improvements made to the review</w:t>
          </w:r>
          <w:r w:rsidR="006C1311" w:rsidRPr="000D4A19">
            <w:rPr>
              <w:rFonts w:cs="Calibri"/>
              <w:sz w:val="24"/>
              <w:szCs w:val="24"/>
              <w:lang w:val="en-GB"/>
            </w:rPr>
            <w:t xml:space="preserve"> of data by the Commission in the last years, GRECO</w:t>
          </w:r>
          <w:r w:rsidR="00D4610D" w:rsidRPr="000D4A19">
            <w:rPr>
              <w:rFonts w:cs="Calibri"/>
              <w:sz w:val="24"/>
              <w:szCs w:val="24"/>
              <w:lang w:val="en-GB"/>
            </w:rPr>
            <w:t xml:space="preserve"> finds</w:t>
          </w:r>
          <w:r w:rsidR="006C1311" w:rsidRPr="000D4A19">
            <w:rPr>
              <w:rFonts w:cs="Calibri"/>
              <w:sz w:val="24"/>
              <w:szCs w:val="24"/>
              <w:lang w:val="en-GB"/>
            </w:rPr>
            <w:t xml:space="preserve"> that further measures </w:t>
          </w:r>
          <w:r w:rsidR="004B0D75" w:rsidRPr="000D4A19">
            <w:rPr>
              <w:rFonts w:cs="Calibri"/>
              <w:sz w:val="24"/>
              <w:szCs w:val="24"/>
              <w:lang w:val="en-GB"/>
            </w:rPr>
            <w:t>ne</w:t>
          </w:r>
          <w:r w:rsidRPr="000D4A19">
            <w:rPr>
              <w:rFonts w:cs="Calibri"/>
              <w:sz w:val="24"/>
              <w:szCs w:val="24"/>
              <w:lang w:val="en-GB"/>
            </w:rPr>
            <w:t xml:space="preserve">ed to </w:t>
          </w:r>
          <w:r w:rsidR="006C1311" w:rsidRPr="000D4A19">
            <w:rPr>
              <w:rFonts w:cs="Calibri"/>
              <w:sz w:val="24"/>
              <w:szCs w:val="24"/>
              <w:lang w:val="en-GB"/>
            </w:rPr>
            <w:t>be taken to enable the Commission to carry out its “</w:t>
          </w:r>
          <w:r w:rsidR="00D4610D" w:rsidRPr="000D4A19">
            <w:rPr>
              <w:rFonts w:cs="Calibri"/>
              <w:sz w:val="24"/>
              <w:szCs w:val="24"/>
              <w:lang w:val="en-GB"/>
            </w:rPr>
            <w:t>regul</w:t>
          </w:r>
          <w:r w:rsidR="006C1311" w:rsidRPr="000D4A19">
            <w:rPr>
              <w:rFonts w:cs="Calibri"/>
              <w:sz w:val="24"/>
              <w:szCs w:val="24"/>
              <w:lang w:val="en-GB"/>
            </w:rPr>
            <w:t>ar checks” of data contained in the subm</w:t>
          </w:r>
          <w:r w:rsidR="00772D16" w:rsidRPr="000D4A19">
            <w:rPr>
              <w:rFonts w:cs="Calibri"/>
              <w:sz w:val="24"/>
              <w:szCs w:val="24"/>
              <w:lang w:val="en-GB"/>
            </w:rPr>
            <w:t xml:space="preserve">itted </w:t>
          </w:r>
          <w:r w:rsidR="00BF182A">
            <w:rPr>
              <w:rFonts w:cs="Calibri"/>
              <w:sz w:val="24"/>
              <w:szCs w:val="24"/>
              <w:lang w:val="en-GB"/>
            </w:rPr>
            <w:t>financial</w:t>
          </w:r>
          <w:r w:rsidR="00772D16" w:rsidRPr="000D4A19">
            <w:rPr>
              <w:rFonts w:cs="Calibri"/>
              <w:sz w:val="24"/>
              <w:szCs w:val="24"/>
              <w:lang w:val="en-GB"/>
            </w:rPr>
            <w:t xml:space="preserve"> declarations</w:t>
          </w:r>
          <w:r w:rsidR="0010211F" w:rsidRPr="000D4A19">
            <w:rPr>
              <w:rFonts w:cs="Calibri"/>
              <w:sz w:val="24"/>
              <w:szCs w:val="24"/>
              <w:lang w:val="en-GB"/>
            </w:rPr>
            <w:t xml:space="preserve"> and to </w:t>
          </w:r>
          <w:r w:rsidR="00933AF5" w:rsidRPr="000D4A19">
            <w:rPr>
              <w:rFonts w:cs="Calibri"/>
              <w:sz w:val="24"/>
              <w:szCs w:val="24"/>
              <w:lang w:val="en-GB"/>
            </w:rPr>
            <w:t xml:space="preserve">have </w:t>
          </w:r>
          <w:r w:rsidR="0010211F" w:rsidRPr="000D4A19">
            <w:rPr>
              <w:rFonts w:cs="Calibri"/>
              <w:sz w:val="24"/>
              <w:szCs w:val="24"/>
              <w:lang w:val="en-GB"/>
            </w:rPr>
            <w:t>its requests for certain information to be handed over</w:t>
          </w:r>
          <w:r w:rsidR="00933AF5" w:rsidRPr="000D4A19">
            <w:rPr>
              <w:rFonts w:cs="Calibri"/>
              <w:sz w:val="24"/>
              <w:szCs w:val="24"/>
              <w:lang w:val="en-GB"/>
            </w:rPr>
            <w:t xml:space="preserve"> enforced</w:t>
          </w:r>
          <w:r w:rsidR="00772D16" w:rsidRPr="000D4A19">
            <w:rPr>
              <w:rFonts w:cs="Calibri"/>
              <w:sz w:val="24"/>
              <w:szCs w:val="24"/>
              <w:lang w:val="en-GB"/>
            </w:rPr>
            <w:t>.</w:t>
          </w:r>
          <w:r w:rsidR="00CC336D" w:rsidRPr="000D4A19">
            <w:rPr>
              <w:rFonts w:cs="Calibri"/>
              <w:sz w:val="24"/>
              <w:szCs w:val="24"/>
              <w:lang w:val="en-GB"/>
            </w:rPr>
            <w:t xml:space="preserve"> </w:t>
          </w:r>
          <w:r w:rsidR="004D24A0" w:rsidRPr="000D4A19">
            <w:rPr>
              <w:rFonts w:cs="Calibri"/>
              <w:sz w:val="24"/>
              <w:szCs w:val="24"/>
              <w:lang w:val="en-GB"/>
            </w:rPr>
            <w:t>It was</w:t>
          </w:r>
          <w:r w:rsidR="006012A8" w:rsidRPr="000D4A19">
            <w:rPr>
              <w:rFonts w:cs="Calibri"/>
              <w:sz w:val="24"/>
              <w:szCs w:val="24"/>
              <w:lang w:val="en-GB"/>
            </w:rPr>
            <w:t xml:space="preserve"> therefore pleased to note that th</w:t>
          </w:r>
          <w:r w:rsidR="004D24A0" w:rsidRPr="000D4A19">
            <w:rPr>
              <w:rFonts w:cs="Calibri"/>
              <w:sz w:val="24"/>
              <w:szCs w:val="24"/>
              <w:lang w:val="en-GB"/>
            </w:rPr>
            <w:t xml:space="preserve">e objective “strengthening mechanisms for the verification of the income status of public officials” </w:t>
          </w:r>
          <w:r w:rsidR="006012A8" w:rsidRPr="000D4A19">
            <w:rPr>
              <w:rFonts w:cs="Calibri"/>
              <w:sz w:val="24"/>
              <w:szCs w:val="24"/>
              <w:lang w:val="en-GB"/>
            </w:rPr>
            <w:t>has been included in the</w:t>
          </w:r>
          <w:r w:rsidR="004D24A0" w:rsidRPr="000D4A19">
            <w:rPr>
              <w:rFonts w:cs="Calibri"/>
              <w:sz w:val="24"/>
              <w:szCs w:val="24"/>
              <w:lang w:val="en-GB"/>
            </w:rPr>
            <w:t xml:space="preserve"> 2015-2020</w:t>
          </w:r>
          <w:r w:rsidR="006012A8" w:rsidRPr="000D4A19">
            <w:rPr>
              <w:rFonts w:cs="Calibri"/>
              <w:sz w:val="24"/>
              <w:szCs w:val="24"/>
              <w:lang w:val="en-GB"/>
            </w:rPr>
            <w:t xml:space="preserve"> Anti-Corruption Strategy </w:t>
          </w:r>
          <w:r w:rsidR="004D24A0" w:rsidRPr="000D4A19">
            <w:rPr>
              <w:rFonts w:cs="Calibri"/>
              <w:sz w:val="24"/>
              <w:szCs w:val="24"/>
              <w:lang w:val="en-GB"/>
            </w:rPr>
            <w:t xml:space="preserve">(see </w:t>
          </w:r>
          <w:r w:rsidR="004D24A0" w:rsidRPr="007A42EA">
            <w:rPr>
              <w:rFonts w:cs="Calibri"/>
              <w:sz w:val="24"/>
              <w:szCs w:val="24"/>
              <w:lang w:val="en-GB"/>
            </w:rPr>
            <w:t xml:space="preserve">paragraph </w:t>
          </w:r>
          <w:r w:rsidR="00E347EF" w:rsidRPr="007A42EA">
            <w:rPr>
              <w:rFonts w:cs="Calibri"/>
              <w:sz w:val="24"/>
              <w:szCs w:val="24"/>
              <w:lang w:val="en-GB"/>
            </w:rPr>
            <w:t>3</w:t>
          </w:r>
          <w:r w:rsidR="00ED28E7" w:rsidRPr="007A42EA">
            <w:rPr>
              <w:rFonts w:cs="Calibri"/>
              <w:sz w:val="24"/>
              <w:szCs w:val="24"/>
              <w:lang w:val="en-GB"/>
            </w:rPr>
            <w:t>4</w:t>
          </w:r>
          <w:r w:rsidR="004D24A0" w:rsidRPr="007A42EA">
            <w:rPr>
              <w:rFonts w:cs="Calibri"/>
              <w:sz w:val="24"/>
              <w:szCs w:val="24"/>
              <w:lang w:val="en-GB"/>
            </w:rPr>
            <w:t xml:space="preserve"> ab</w:t>
          </w:r>
          <w:r w:rsidR="004D24A0" w:rsidRPr="000D4A19">
            <w:rPr>
              <w:rFonts w:cs="Calibri"/>
              <w:sz w:val="24"/>
              <w:szCs w:val="24"/>
              <w:lang w:val="en-GB"/>
            </w:rPr>
            <w:t xml:space="preserve">ove) and that it is planned for this to be taken up </w:t>
          </w:r>
          <w:r w:rsidR="006012A8" w:rsidRPr="000D4A19">
            <w:rPr>
              <w:rFonts w:cs="Calibri"/>
              <w:sz w:val="24"/>
              <w:szCs w:val="24"/>
              <w:lang w:val="en-GB"/>
            </w:rPr>
            <w:t>in the course of drafting the new Act on the Prevention of Conflicts of Interest (to be adopted in the second half of 2020).</w:t>
          </w:r>
          <w:r w:rsidR="004D24A0" w:rsidRPr="000D4A19">
            <w:rPr>
              <w:rFonts w:cs="Calibri"/>
              <w:sz w:val="24"/>
              <w:szCs w:val="24"/>
              <w:lang w:val="en-GB"/>
            </w:rPr>
            <w:t xml:space="preserve"> In light of the foregoing</w:t>
          </w:r>
          <w:r w:rsidR="00997C18">
            <w:rPr>
              <w:rFonts w:cs="Calibri"/>
              <w:sz w:val="24"/>
              <w:szCs w:val="24"/>
              <w:lang w:val="en-GB"/>
            </w:rPr>
            <w:t xml:space="preserve"> and within the parameters set by the Constitutional Court</w:t>
          </w:r>
          <w:r w:rsidR="004D24A0" w:rsidRPr="000D4A19">
            <w:rPr>
              <w:rFonts w:cs="Calibri"/>
              <w:sz w:val="24"/>
              <w:szCs w:val="24"/>
              <w:lang w:val="en-GB"/>
            </w:rPr>
            <w:t xml:space="preserve">, </w:t>
          </w:r>
          <w:r w:rsidR="004D24A0" w:rsidRPr="000D4A19">
            <w:rPr>
              <w:rFonts w:cs="Calibri"/>
              <w:b/>
              <w:sz w:val="24"/>
              <w:szCs w:val="24"/>
              <w:lang w:val="en-GB"/>
            </w:rPr>
            <w:t xml:space="preserve">GRECO recommends </w:t>
          </w:r>
          <w:bookmarkStart w:id="111" w:name="_Hlk26535781"/>
          <w:r w:rsidR="004D24A0" w:rsidRPr="000D4A19">
            <w:rPr>
              <w:rFonts w:cs="Calibri"/>
              <w:b/>
              <w:sz w:val="24"/>
              <w:szCs w:val="24"/>
              <w:lang w:val="en-GB"/>
            </w:rPr>
            <w:t xml:space="preserve">further </w:t>
          </w:r>
          <w:r w:rsidR="00A91DF6">
            <w:rPr>
              <w:rFonts w:cs="Calibri"/>
              <w:b/>
              <w:sz w:val="24"/>
              <w:szCs w:val="24"/>
              <w:lang w:val="en-GB"/>
            </w:rPr>
            <w:t>improving</w:t>
          </w:r>
          <w:r w:rsidR="00A91DF6" w:rsidRPr="000D4A19">
            <w:rPr>
              <w:rFonts w:cs="Calibri"/>
              <w:b/>
              <w:sz w:val="24"/>
              <w:szCs w:val="24"/>
              <w:lang w:val="en-GB"/>
            </w:rPr>
            <w:t xml:space="preserve"> </w:t>
          </w:r>
          <w:r w:rsidR="004D24A0" w:rsidRPr="000D4A19">
            <w:rPr>
              <w:rFonts w:cs="Calibri"/>
              <w:b/>
              <w:sz w:val="24"/>
              <w:szCs w:val="24"/>
              <w:lang w:val="en-GB"/>
            </w:rPr>
            <w:t xml:space="preserve">possibilities for the Commission for the Prevention of Conflicts of Interest to obtain information necessary for the verification of </w:t>
          </w:r>
          <w:r w:rsidR="00BF182A">
            <w:rPr>
              <w:rFonts w:cs="Calibri"/>
              <w:b/>
              <w:sz w:val="24"/>
              <w:szCs w:val="24"/>
              <w:lang w:val="en-GB"/>
            </w:rPr>
            <w:t>financial</w:t>
          </w:r>
          <w:r w:rsidR="004D24A0" w:rsidRPr="000D4A19">
            <w:rPr>
              <w:rFonts w:cs="Calibri"/>
              <w:b/>
              <w:sz w:val="24"/>
              <w:szCs w:val="24"/>
              <w:lang w:val="en-GB"/>
            </w:rPr>
            <w:t xml:space="preserve"> declarations (including by giving the Commission the authority to oblige officials to hand over requested information)</w:t>
          </w:r>
          <w:bookmarkEnd w:id="111"/>
          <w:r w:rsidR="004D24A0" w:rsidRPr="000D4A19">
            <w:rPr>
              <w:rFonts w:cs="Calibri"/>
              <w:sz w:val="24"/>
              <w:szCs w:val="24"/>
              <w:lang w:val="en-GB"/>
            </w:rPr>
            <w:t>.</w:t>
          </w:r>
        </w:p>
        <w:p w14:paraId="51015DDE" w14:textId="77777777" w:rsidR="00B70B8C" w:rsidRPr="000D4A19" w:rsidRDefault="00B70B8C" w:rsidP="00756FEC">
          <w:pPr>
            <w:tabs>
              <w:tab w:val="num" w:pos="3403"/>
              <w:tab w:val="num" w:pos="8222"/>
            </w:tabs>
            <w:spacing w:after="0" w:line="240" w:lineRule="auto"/>
            <w:jc w:val="both"/>
            <w:rPr>
              <w:rFonts w:cs="Calibri"/>
              <w:sz w:val="24"/>
              <w:szCs w:val="24"/>
              <w:lang w:val="en-GB"/>
            </w:rPr>
          </w:pPr>
        </w:p>
        <w:p w14:paraId="416C0280" w14:textId="2980E372" w:rsidR="00772D16" w:rsidRPr="000D4A19" w:rsidRDefault="00603AAD" w:rsidP="0001753C">
          <w:pPr>
            <w:numPr>
              <w:ilvl w:val="0"/>
              <w:numId w:val="1"/>
            </w:numPr>
            <w:tabs>
              <w:tab w:val="num" w:pos="681"/>
              <w:tab w:val="num" w:pos="1557"/>
              <w:tab w:val="num" w:pos="8222"/>
            </w:tabs>
            <w:spacing w:after="0" w:line="240" w:lineRule="auto"/>
            <w:ind w:left="0" w:firstLine="0"/>
            <w:jc w:val="both"/>
            <w:rPr>
              <w:rFonts w:cs="Calibri"/>
              <w:sz w:val="24"/>
              <w:szCs w:val="24"/>
              <w:lang w:val="en-GB"/>
            </w:rPr>
          </w:pPr>
          <w:r w:rsidRPr="000D4A19">
            <w:rPr>
              <w:rFonts w:cs="Calibri"/>
              <w:sz w:val="24"/>
              <w:szCs w:val="24"/>
              <w:lang w:val="en-GB"/>
            </w:rPr>
            <w:t xml:space="preserve">The GET </w:t>
          </w:r>
          <w:r w:rsidR="00933AF5" w:rsidRPr="000D4A19">
            <w:rPr>
              <w:rFonts w:cs="Calibri"/>
              <w:sz w:val="24"/>
              <w:szCs w:val="24"/>
              <w:lang w:val="en-GB"/>
            </w:rPr>
            <w:t xml:space="preserve">additionally </w:t>
          </w:r>
          <w:r w:rsidRPr="000D4A19">
            <w:rPr>
              <w:rFonts w:cs="Calibri"/>
              <w:sz w:val="24"/>
              <w:szCs w:val="24"/>
              <w:lang w:val="en-GB"/>
            </w:rPr>
            <w:t>finds that the Commission,</w:t>
          </w:r>
          <w:r w:rsidR="00772D16" w:rsidRPr="000D4A19">
            <w:rPr>
              <w:rFonts w:cs="Calibri"/>
              <w:sz w:val="24"/>
              <w:szCs w:val="24"/>
              <w:lang w:val="en-GB"/>
            </w:rPr>
            <w:t xml:space="preserve"> despite the upgrade </w:t>
          </w:r>
          <w:r w:rsidRPr="000D4A19">
            <w:rPr>
              <w:rFonts w:cs="Calibri"/>
              <w:sz w:val="24"/>
              <w:szCs w:val="24"/>
              <w:lang w:val="en-GB"/>
            </w:rPr>
            <w:t>of its</w:t>
          </w:r>
          <w:r w:rsidR="00772D16" w:rsidRPr="000D4A19">
            <w:rPr>
              <w:rFonts w:cs="Calibri"/>
              <w:sz w:val="24"/>
              <w:szCs w:val="24"/>
              <w:lang w:val="en-GB"/>
            </w:rPr>
            <w:t xml:space="preserve"> IT system (which at least ensured that information did not have to be t</w:t>
          </w:r>
          <w:r w:rsidR="00236441" w:rsidRPr="000D4A19">
            <w:rPr>
              <w:rFonts w:cs="Calibri"/>
              <w:sz w:val="24"/>
              <w:szCs w:val="24"/>
              <w:lang w:val="en-GB"/>
            </w:rPr>
            <w:t xml:space="preserve">ranscribed into a computer), </w:t>
          </w:r>
          <w:r w:rsidR="00772D16" w:rsidRPr="000D4A19">
            <w:rPr>
              <w:rFonts w:cs="Calibri"/>
              <w:sz w:val="24"/>
              <w:szCs w:val="24"/>
              <w:lang w:val="en-GB"/>
            </w:rPr>
            <w:t>does not h</w:t>
          </w:r>
          <w:r w:rsidR="00236441" w:rsidRPr="000D4A19">
            <w:rPr>
              <w:rFonts w:cs="Calibri"/>
              <w:sz w:val="24"/>
              <w:szCs w:val="24"/>
              <w:lang w:val="en-GB"/>
            </w:rPr>
            <w:t xml:space="preserve">ave enough technical capacities, </w:t>
          </w:r>
          <w:r w:rsidR="00772D16" w:rsidRPr="000D4A19">
            <w:rPr>
              <w:rFonts w:cs="Calibri"/>
              <w:sz w:val="24"/>
              <w:szCs w:val="24"/>
              <w:lang w:val="en-GB"/>
            </w:rPr>
            <w:t xml:space="preserve">which would allow it to act </w:t>
          </w:r>
          <w:r w:rsidR="00772D16" w:rsidRPr="000D4A19">
            <w:rPr>
              <w:rFonts w:cs="Calibri"/>
              <w:i/>
              <w:sz w:val="24"/>
              <w:szCs w:val="24"/>
              <w:lang w:val="en-GB"/>
            </w:rPr>
            <w:t xml:space="preserve">ex officio. </w:t>
          </w:r>
          <w:r w:rsidR="00772D16" w:rsidRPr="000D4A19">
            <w:rPr>
              <w:rFonts w:cs="Calibri"/>
              <w:sz w:val="24"/>
              <w:szCs w:val="24"/>
              <w:lang w:val="en-GB"/>
            </w:rPr>
            <w:t xml:space="preserve">In short, even if the Commission is certainly willing to act pro-actively, it currently does not have the resources to sufficiently carry out its mandate, in particular when bearing in mind that the verification of </w:t>
          </w:r>
          <w:r w:rsidR="00BF182A">
            <w:rPr>
              <w:rFonts w:cs="Calibri"/>
              <w:sz w:val="24"/>
              <w:szCs w:val="24"/>
              <w:lang w:val="en-GB"/>
            </w:rPr>
            <w:t>financial</w:t>
          </w:r>
          <w:r w:rsidR="00772D16" w:rsidRPr="000D4A19">
            <w:rPr>
              <w:rFonts w:cs="Calibri"/>
              <w:sz w:val="24"/>
              <w:szCs w:val="24"/>
              <w:lang w:val="en-GB"/>
            </w:rPr>
            <w:t xml:space="preserve"> declarations is only one of the many tasks bestowed upon it by the LCI.</w:t>
          </w:r>
          <w:r w:rsidR="000A430D" w:rsidRPr="000D4A19">
            <w:rPr>
              <w:rFonts w:cs="Calibri"/>
              <w:sz w:val="24"/>
              <w:szCs w:val="24"/>
              <w:lang w:val="en-GB"/>
            </w:rPr>
            <w:t xml:space="preserve"> </w:t>
          </w:r>
          <w:r w:rsidR="00772D16" w:rsidRPr="000D4A19">
            <w:rPr>
              <w:rFonts w:cs="Calibri"/>
              <w:sz w:val="24"/>
              <w:szCs w:val="24"/>
              <w:lang w:val="en-GB"/>
            </w:rPr>
            <w:t>GRECO already recommended in the Fourth Evaluation Round</w:t>
          </w:r>
          <w:r w:rsidR="003E7919" w:rsidRPr="000D4A19">
            <w:rPr>
              <w:rFonts w:cs="Calibri"/>
              <w:sz w:val="24"/>
              <w:szCs w:val="24"/>
              <w:lang w:val="en-GB"/>
            </w:rPr>
            <w:t xml:space="preserve"> Report on Croatia</w:t>
          </w:r>
          <w:r w:rsidR="00772D16" w:rsidRPr="000D4A19">
            <w:rPr>
              <w:rFonts w:cs="Calibri"/>
              <w:sz w:val="24"/>
              <w:szCs w:val="24"/>
              <w:lang w:val="en-GB"/>
            </w:rPr>
            <w:t xml:space="preserve"> to reassess the technical and personnel resources of the Commission</w:t>
          </w:r>
          <w:r w:rsidR="003E7919" w:rsidRPr="000D4A19">
            <w:rPr>
              <w:rFonts w:cs="Calibri"/>
              <w:sz w:val="24"/>
              <w:szCs w:val="24"/>
              <w:lang w:val="en-GB"/>
            </w:rPr>
            <w:t>.</w:t>
          </w:r>
          <w:r w:rsidR="00772D16" w:rsidRPr="000D4A19">
            <w:rPr>
              <w:rStyle w:val="Referencafusnote"/>
              <w:rFonts w:cs="Calibri"/>
              <w:sz w:val="24"/>
              <w:szCs w:val="24"/>
              <w:lang w:val="en-GB"/>
            </w:rPr>
            <w:footnoteReference w:id="46"/>
          </w:r>
          <w:r w:rsidR="000A430D" w:rsidRPr="000D4A19">
            <w:rPr>
              <w:rFonts w:cs="Calibri"/>
              <w:sz w:val="24"/>
              <w:szCs w:val="24"/>
              <w:lang w:val="en-GB"/>
            </w:rPr>
            <w:t xml:space="preserve"> </w:t>
          </w:r>
          <w:r w:rsidR="004D24A0" w:rsidRPr="000D4A19">
            <w:rPr>
              <w:rFonts w:cs="Calibri"/>
              <w:sz w:val="24"/>
              <w:szCs w:val="24"/>
              <w:lang w:val="en-GB"/>
            </w:rPr>
            <w:t>G</w:t>
          </w:r>
          <w:r w:rsidR="000A430D" w:rsidRPr="000D4A19">
            <w:rPr>
              <w:rFonts w:cs="Calibri"/>
              <w:sz w:val="24"/>
              <w:szCs w:val="24"/>
              <w:lang w:val="en-GB"/>
            </w:rPr>
            <w:t>iven the scale of the task</w:t>
          </w:r>
          <w:r w:rsidR="00F85CD6" w:rsidRPr="000D4A19">
            <w:rPr>
              <w:rFonts w:cs="Calibri"/>
              <w:sz w:val="24"/>
              <w:szCs w:val="24"/>
              <w:lang w:val="en-GB"/>
            </w:rPr>
            <w:t>s</w:t>
          </w:r>
          <w:r w:rsidR="000A430D" w:rsidRPr="000D4A19">
            <w:rPr>
              <w:rFonts w:cs="Calibri"/>
              <w:sz w:val="24"/>
              <w:szCs w:val="24"/>
              <w:lang w:val="en-GB"/>
            </w:rPr>
            <w:t xml:space="preserve"> of the Commission,</w:t>
          </w:r>
          <w:r w:rsidR="003E7919" w:rsidRPr="000D4A19">
            <w:rPr>
              <w:rFonts w:cs="Calibri"/>
              <w:sz w:val="24"/>
              <w:szCs w:val="24"/>
              <w:lang w:val="en-GB"/>
            </w:rPr>
            <w:t xml:space="preserve"> the GET</w:t>
          </w:r>
          <w:r w:rsidR="004D24A0" w:rsidRPr="000D4A19">
            <w:rPr>
              <w:rFonts w:cs="Calibri"/>
              <w:sz w:val="24"/>
              <w:szCs w:val="24"/>
              <w:lang w:val="en-GB"/>
            </w:rPr>
            <w:t xml:space="preserve"> welcomes that it is planned to further increase the </w:t>
          </w:r>
          <w:r w:rsidR="009553AB" w:rsidRPr="000D4A19">
            <w:rPr>
              <w:rFonts w:cs="Calibri"/>
              <w:sz w:val="24"/>
              <w:szCs w:val="24"/>
              <w:lang w:val="en-GB"/>
            </w:rPr>
            <w:t xml:space="preserve">budget </w:t>
          </w:r>
          <w:r w:rsidR="00434583" w:rsidRPr="000D4A19">
            <w:rPr>
              <w:rFonts w:cs="Calibri"/>
              <w:sz w:val="24"/>
              <w:szCs w:val="24"/>
              <w:lang w:val="en-GB"/>
            </w:rPr>
            <w:t>of the Commission for 2020</w:t>
          </w:r>
          <w:r w:rsidR="004D24A0" w:rsidRPr="000D4A19">
            <w:rPr>
              <w:rFonts w:cs="Calibri"/>
              <w:sz w:val="24"/>
              <w:szCs w:val="24"/>
              <w:lang w:val="en-GB"/>
            </w:rPr>
            <w:t xml:space="preserve"> (i.e. from 6 493 939 HRK / approximately 876 000 EUR in 2019 to 7 810 718 HRK / approximately 1 054 078 EUR projected for 2020)</w:t>
          </w:r>
          <w:r w:rsidR="000A430D" w:rsidRPr="000D4A19">
            <w:rPr>
              <w:rFonts w:cs="Calibri"/>
              <w:sz w:val="24"/>
              <w:szCs w:val="24"/>
              <w:lang w:val="en-GB"/>
            </w:rPr>
            <w:t>.</w:t>
          </w:r>
          <w:bookmarkStart w:id="112" w:name="_Hlk22745640"/>
        </w:p>
        <w:bookmarkEnd w:id="112"/>
        <w:p w14:paraId="0299583B" w14:textId="77777777" w:rsidR="0001753C" w:rsidRPr="000D4A19" w:rsidRDefault="0001753C" w:rsidP="0001753C">
          <w:pPr>
            <w:tabs>
              <w:tab w:val="num" w:pos="3403"/>
              <w:tab w:val="num" w:pos="8222"/>
            </w:tabs>
            <w:spacing w:after="0" w:line="240" w:lineRule="auto"/>
            <w:jc w:val="both"/>
            <w:rPr>
              <w:rFonts w:cs="Calibri"/>
              <w:sz w:val="24"/>
              <w:szCs w:val="24"/>
              <w:lang w:val="en-GB"/>
            </w:rPr>
          </w:pPr>
        </w:p>
        <w:p w14:paraId="75F66EF7" w14:textId="77777777" w:rsidR="009919AC" w:rsidRPr="000D4A19" w:rsidRDefault="009919AC" w:rsidP="0001753C">
          <w:pPr>
            <w:pStyle w:val="Naslov2"/>
            <w:keepNext w:val="0"/>
            <w:keepLines w:val="0"/>
            <w:tabs>
              <w:tab w:val="left" w:pos="709"/>
            </w:tabs>
            <w:spacing w:before="0" w:line="240" w:lineRule="auto"/>
            <w:jc w:val="both"/>
            <w:rPr>
              <w:rFonts w:asciiTheme="minorHAnsi" w:hAnsiTheme="minorHAnsi" w:cstheme="minorHAnsi"/>
              <w:color w:val="auto"/>
              <w:sz w:val="24"/>
              <w:szCs w:val="24"/>
              <w:u w:val="single"/>
              <w:lang w:val="en-GB"/>
            </w:rPr>
          </w:pPr>
          <w:bookmarkStart w:id="113" w:name="_Toc4762869"/>
          <w:bookmarkStart w:id="114" w:name="_Toc25229313"/>
          <w:r w:rsidRPr="000D4A19">
            <w:rPr>
              <w:rFonts w:asciiTheme="minorHAnsi" w:hAnsiTheme="minorHAnsi" w:cstheme="minorHAnsi"/>
              <w:color w:val="auto"/>
              <w:sz w:val="24"/>
              <w:szCs w:val="24"/>
              <w:u w:val="single"/>
              <w:lang w:val="en-GB"/>
            </w:rPr>
            <w:t>Accountability and enforcement mechanisms</w:t>
          </w:r>
          <w:bookmarkEnd w:id="113"/>
          <w:bookmarkEnd w:id="114"/>
        </w:p>
        <w:p w14:paraId="0A0BE3AF" w14:textId="77777777" w:rsidR="009919AC" w:rsidRPr="000D4A19" w:rsidRDefault="009919AC" w:rsidP="0001753C">
          <w:pPr>
            <w:spacing w:after="0" w:line="240" w:lineRule="auto"/>
            <w:jc w:val="both"/>
            <w:rPr>
              <w:rFonts w:cstheme="minorHAnsi"/>
              <w:sz w:val="24"/>
              <w:szCs w:val="24"/>
              <w:lang w:val="en-GB"/>
            </w:rPr>
          </w:pPr>
        </w:p>
        <w:p w14:paraId="052A5E0F" w14:textId="77777777" w:rsidR="009919AC" w:rsidRPr="000D4A19" w:rsidRDefault="009919AC" w:rsidP="0001753C">
          <w:pPr>
            <w:pStyle w:val="Naslov3"/>
            <w:keepNext w:val="0"/>
            <w:keepLines w:val="0"/>
            <w:tabs>
              <w:tab w:val="left" w:pos="709"/>
            </w:tabs>
            <w:spacing w:before="0" w:line="240" w:lineRule="auto"/>
            <w:jc w:val="both"/>
            <w:rPr>
              <w:rFonts w:asciiTheme="minorHAnsi" w:hAnsiTheme="minorHAnsi" w:cstheme="minorHAnsi"/>
              <w:b w:val="0"/>
              <w:i/>
              <w:color w:val="auto"/>
              <w:sz w:val="24"/>
              <w:szCs w:val="24"/>
              <w:u w:val="single"/>
              <w:lang w:val="en-GB"/>
            </w:rPr>
          </w:pPr>
          <w:bookmarkStart w:id="115" w:name="_Toc4762870"/>
          <w:bookmarkStart w:id="116" w:name="_Toc25229314"/>
          <w:r w:rsidRPr="000D4A19">
            <w:rPr>
              <w:rFonts w:asciiTheme="minorHAnsi" w:hAnsiTheme="minorHAnsi" w:cstheme="minorHAnsi"/>
              <w:b w:val="0"/>
              <w:i/>
              <w:color w:val="auto"/>
              <w:sz w:val="24"/>
              <w:szCs w:val="24"/>
              <w:lang w:val="en-GB"/>
            </w:rPr>
            <w:t>Non-criminal enforcement mechanisms</w:t>
          </w:r>
          <w:bookmarkEnd w:id="115"/>
          <w:bookmarkEnd w:id="116"/>
        </w:p>
        <w:p w14:paraId="456722BE" w14:textId="77777777" w:rsidR="009919AC" w:rsidRPr="000D4A19" w:rsidRDefault="009919AC" w:rsidP="0001753C">
          <w:pPr>
            <w:spacing w:after="0" w:line="240" w:lineRule="auto"/>
            <w:jc w:val="both"/>
            <w:rPr>
              <w:rFonts w:cstheme="minorHAnsi"/>
              <w:b/>
              <w:sz w:val="24"/>
              <w:szCs w:val="24"/>
              <w:u w:val="single"/>
              <w:lang w:val="en-GB"/>
            </w:rPr>
          </w:pPr>
        </w:p>
        <w:p w14:paraId="06F597A7" w14:textId="002E4951" w:rsidR="007C2108" w:rsidRPr="000D4A19" w:rsidRDefault="00DD4CDA" w:rsidP="0001753C">
          <w:pPr>
            <w:numPr>
              <w:ilvl w:val="0"/>
              <w:numId w:val="1"/>
            </w:numPr>
            <w:tabs>
              <w:tab w:val="num" w:pos="681"/>
              <w:tab w:val="num" w:pos="1557"/>
              <w:tab w:val="num" w:pos="8222"/>
            </w:tabs>
            <w:spacing w:after="0" w:line="240" w:lineRule="auto"/>
            <w:ind w:left="0" w:firstLine="0"/>
            <w:jc w:val="both"/>
            <w:rPr>
              <w:rFonts w:cs="Calibri"/>
              <w:i/>
              <w:sz w:val="24"/>
              <w:szCs w:val="24"/>
              <w:lang w:val="en-GB"/>
            </w:rPr>
          </w:pPr>
          <w:r w:rsidRPr="000D4A19">
            <w:rPr>
              <w:rFonts w:cs="Calibri"/>
              <w:sz w:val="24"/>
              <w:szCs w:val="24"/>
              <w:lang w:val="en-GB"/>
            </w:rPr>
            <w:t xml:space="preserve">In addition to checking </w:t>
          </w:r>
          <w:r w:rsidR="00BF182A">
            <w:rPr>
              <w:rFonts w:cs="Calibri"/>
              <w:sz w:val="24"/>
              <w:szCs w:val="24"/>
              <w:lang w:val="en-GB"/>
            </w:rPr>
            <w:t>financial</w:t>
          </w:r>
          <w:r w:rsidRPr="000D4A19">
            <w:rPr>
              <w:rFonts w:cs="Calibri"/>
              <w:sz w:val="24"/>
              <w:szCs w:val="24"/>
              <w:lang w:val="en-GB"/>
            </w:rPr>
            <w:t xml:space="preserve"> declarations as outlined in the previous paragraphs, </w:t>
          </w:r>
          <w:r w:rsidR="009919AC" w:rsidRPr="000D4A19">
            <w:rPr>
              <w:rFonts w:cs="Calibri"/>
              <w:sz w:val="24"/>
              <w:szCs w:val="24"/>
              <w:lang w:val="en-GB"/>
            </w:rPr>
            <w:t xml:space="preserve">the Commission </w:t>
          </w:r>
          <w:r w:rsidRPr="000D4A19">
            <w:rPr>
              <w:rFonts w:cs="Calibri"/>
              <w:sz w:val="24"/>
              <w:szCs w:val="24"/>
              <w:lang w:val="en-GB"/>
            </w:rPr>
            <w:t xml:space="preserve">for the </w:t>
          </w:r>
          <w:r w:rsidR="00F85342" w:rsidRPr="000D4A19">
            <w:rPr>
              <w:rFonts w:cs="Calibri"/>
              <w:sz w:val="24"/>
              <w:szCs w:val="24"/>
              <w:lang w:val="en-GB"/>
            </w:rPr>
            <w:t>Prevention</w:t>
          </w:r>
          <w:r w:rsidR="0010211F" w:rsidRPr="000D4A19">
            <w:rPr>
              <w:rFonts w:cs="Calibri"/>
              <w:sz w:val="24"/>
              <w:szCs w:val="24"/>
              <w:lang w:val="en-GB"/>
            </w:rPr>
            <w:t xml:space="preserve"> </w:t>
          </w:r>
          <w:r w:rsidRPr="000D4A19">
            <w:rPr>
              <w:rFonts w:cs="Calibri"/>
              <w:sz w:val="24"/>
              <w:szCs w:val="24"/>
              <w:lang w:val="en-GB"/>
            </w:rPr>
            <w:t>of Conflicts of Interests is pursuant to Article 30 LCI also</w:t>
          </w:r>
          <w:r w:rsidR="009919AC" w:rsidRPr="000D4A19">
            <w:rPr>
              <w:rFonts w:cs="Calibri"/>
              <w:sz w:val="24"/>
              <w:szCs w:val="24"/>
              <w:lang w:val="en-GB"/>
            </w:rPr>
            <w:t xml:space="preserve"> competent for (i) instigating conflict of interest proceedings and rendering decisions on infringements; (ii) ad</w:t>
          </w:r>
          <w:r w:rsidRPr="000D4A19">
            <w:rPr>
              <w:rFonts w:cs="Calibri"/>
              <w:sz w:val="24"/>
              <w:szCs w:val="24"/>
              <w:lang w:val="en-GB"/>
            </w:rPr>
            <w:t>opting its working procedures;</w:t>
          </w:r>
          <w:r w:rsidR="009919AC" w:rsidRPr="000D4A19">
            <w:rPr>
              <w:rFonts w:cs="Calibri"/>
              <w:sz w:val="24"/>
              <w:szCs w:val="24"/>
              <w:lang w:val="en-GB"/>
            </w:rPr>
            <w:t xml:space="preserve"> (i</w:t>
          </w:r>
          <w:r w:rsidRPr="000D4A19">
            <w:rPr>
              <w:rFonts w:cs="Calibri"/>
              <w:sz w:val="24"/>
              <w:szCs w:val="24"/>
              <w:lang w:val="en-GB"/>
            </w:rPr>
            <w:t>ii</w:t>
          </w:r>
          <w:r w:rsidR="009919AC" w:rsidRPr="000D4A19">
            <w:rPr>
              <w:rFonts w:cs="Calibri"/>
              <w:sz w:val="24"/>
              <w:szCs w:val="24"/>
              <w:lang w:val="en-GB"/>
            </w:rPr>
            <w:t>) drawing up guidelines and instructions on conflicts of interest; (</w:t>
          </w:r>
          <w:r w:rsidRPr="000D4A19">
            <w:rPr>
              <w:rFonts w:cs="Calibri"/>
              <w:sz w:val="24"/>
              <w:szCs w:val="24"/>
              <w:lang w:val="en-GB"/>
            </w:rPr>
            <w:t>i</w:t>
          </w:r>
          <w:r w:rsidR="009919AC" w:rsidRPr="000D4A19">
            <w:rPr>
              <w:rFonts w:cs="Calibri"/>
              <w:sz w:val="24"/>
              <w:szCs w:val="24"/>
              <w:lang w:val="en-GB"/>
            </w:rPr>
            <w:t>v) conducting regular training on conflict</w:t>
          </w:r>
          <w:r w:rsidR="00EF2A5D" w:rsidRPr="000D4A19">
            <w:rPr>
              <w:rFonts w:cs="Calibri"/>
              <w:sz w:val="24"/>
              <w:szCs w:val="24"/>
              <w:lang w:val="en-GB"/>
            </w:rPr>
            <w:t>s</w:t>
          </w:r>
          <w:r w:rsidR="009919AC" w:rsidRPr="000D4A19">
            <w:rPr>
              <w:rFonts w:cs="Calibri"/>
              <w:sz w:val="24"/>
              <w:szCs w:val="24"/>
              <w:lang w:val="en-GB"/>
            </w:rPr>
            <w:t xml:space="preserve"> of interest and on su</w:t>
          </w:r>
          <w:r w:rsidR="00772D16" w:rsidRPr="000D4A19">
            <w:rPr>
              <w:rFonts w:cs="Calibri"/>
              <w:sz w:val="24"/>
              <w:szCs w:val="24"/>
              <w:lang w:val="en-GB"/>
            </w:rPr>
            <w:t xml:space="preserve">bmitting </w:t>
          </w:r>
          <w:r w:rsidR="00BF182A">
            <w:rPr>
              <w:rFonts w:cs="Calibri"/>
              <w:sz w:val="24"/>
              <w:szCs w:val="24"/>
              <w:lang w:val="en-GB"/>
            </w:rPr>
            <w:t>financial</w:t>
          </w:r>
          <w:r w:rsidR="00772D16" w:rsidRPr="000D4A19">
            <w:rPr>
              <w:rFonts w:cs="Calibri"/>
              <w:sz w:val="24"/>
              <w:szCs w:val="24"/>
              <w:lang w:val="en-GB"/>
            </w:rPr>
            <w:t xml:space="preserve"> declarations; (v</w:t>
          </w:r>
          <w:r w:rsidR="009919AC" w:rsidRPr="000D4A19">
            <w:rPr>
              <w:rFonts w:cs="Calibri"/>
              <w:sz w:val="24"/>
              <w:szCs w:val="24"/>
              <w:lang w:val="en-GB"/>
            </w:rPr>
            <w:t>) cooperating with other bodies in implementing conflict of interest prevention policies and proposing rec</w:t>
          </w:r>
          <w:r w:rsidR="00772D16" w:rsidRPr="000D4A19">
            <w:rPr>
              <w:rFonts w:cs="Calibri"/>
              <w:sz w:val="24"/>
              <w:szCs w:val="24"/>
              <w:lang w:val="en-GB"/>
            </w:rPr>
            <w:t>ommendations, as necessary; (vi</w:t>
          </w:r>
          <w:r w:rsidR="009919AC" w:rsidRPr="000D4A19">
            <w:rPr>
              <w:rFonts w:cs="Calibri"/>
              <w:sz w:val="24"/>
              <w:szCs w:val="24"/>
              <w:lang w:val="en-GB"/>
            </w:rPr>
            <w:t xml:space="preserve">) cooperating with civil society and maintaining international cooperation on matters related to conflicts of interest. The Commission submits an annual report to Parliament on its activities and expenditures. In its reports, the Commission can recommend changes in the conflict of interest system in response to the type of flaws it identifies when performing its monitoring function. </w:t>
          </w:r>
        </w:p>
        <w:p w14:paraId="3BCACBE6" w14:textId="77777777" w:rsidR="005B41F6" w:rsidRPr="000D4A19" w:rsidRDefault="005B41F6" w:rsidP="005B41F6">
          <w:pPr>
            <w:tabs>
              <w:tab w:val="num" w:pos="3403"/>
              <w:tab w:val="num" w:pos="8222"/>
            </w:tabs>
            <w:spacing w:after="0" w:line="240" w:lineRule="auto"/>
            <w:jc w:val="both"/>
            <w:rPr>
              <w:rFonts w:cs="Calibri"/>
              <w:i/>
              <w:sz w:val="24"/>
              <w:szCs w:val="24"/>
              <w:lang w:val="en-GB"/>
            </w:rPr>
          </w:pPr>
        </w:p>
        <w:p w14:paraId="7EAD09A2" w14:textId="50ABCD67" w:rsidR="005B41F6" w:rsidRPr="000D4A19" w:rsidRDefault="005B41F6" w:rsidP="007C2108">
          <w:pPr>
            <w:numPr>
              <w:ilvl w:val="0"/>
              <w:numId w:val="1"/>
            </w:numPr>
            <w:tabs>
              <w:tab w:val="num" w:pos="681"/>
              <w:tab w:val="num" w:pos="1557"/>
              <w:tab w:val="num" w:pos="8222"/>
            </w:tabs>
            <w:spacing w:after="0" w:line="240" w:lineRule="auto"/>
            <w:ind w:left="0" w:firstLine="0"/>
            <w:jc w:val="both"/>
            <w:rPr>
              <w:rFonts w:cs="Calibri"/>
              <w:i/>
              <w:sz w:val="24"/>
              <w:szCs w:val="24"/>
              <w:lang w:val="en-GB"/>
            </w:rPr>
          </w:pPr>
          <w:r w:rsidRPr="000D4A19">
            <w:rPr>
              <w:rFonts w:cs="Calibri"/>
              <w:sz w:val="24"/>
              <w:szCs w:val="24"/>
              <w:lang w:val="en-GB"/>
            </w:rPr>
            <w:t>Session</w:t>
          </w:r>
          <w:r w:rsidR="0010211F" w:rsidRPr="000D4A19">
            <w:rPr>
              <w:rFonts w:cs="Calibri"/>
              <w:sz w:val="24"/>
              <w:szCs w:val="24"/>
              <w:lang w:val="en-GB"/>
            </w:rPr>
            <w:t>s</w:t>
          </w:r>
          <w:r w:rsidRPr="000D4A19">
            <w:rPr>
              <w:rFonts w:cs="Calibri"/>
              <w:sz w:val="24"/>
              <w:szCs w:val="24"/>
              <w:lang w:val="en-GB"/>
            </w:rPr>
            <w:t xml:space="preserve"> of the Commission are public (and usually well-attended by representatives of the media). All decisions and opinions of the Commission are published on its website. As an additional sanction (if the suspension of salary does not achieve its punitive goal alone), the Commission may decide to publish its decision in a daily newspaper. In practice, if anomalies or irregularities are spotted in the forms while being processed, the Commission contacts the filer for clarification or correction. Where acts of corruption are suspected or revealed in the course of the Commission’s action, the case is referred to USKOK. The GET heard that with the amendments to the LCI planned in 2018, it was envisaged to explicitly lay down in the law that the official would have the right to correct his/her data </w:t>
          </w:r>
          <w:r w:rsidR="00EF2A5D" w:rsidRPr="000D4A19">
            <w:rPr>
              <w:rFonts w:cs="Calibri"/>
              <w:sz w:val="24"/>
              <w:szCs w:val="24"/>
              <w:lang w:val="en-GB"/>
            </w:rPr>
            <w:t>if</w:t>
          </w:r>
          <w:r w:rsidR="009553AB" w:rsidRPr="000D4A19">
            <w:rPr>
              <w:rFonts w:cs="Calibri"/>
              <w:sz w:val="24"/>
              <w:szCs w:val="24"/>
              <w:lang w:val="en-GB"/>
            </w:rPr>
            <w:t xml:space="preserve"> </w:t>
          </w:r>
          <w:r w:rsidRPr="000D4A19">
            <w:rPr>
              <w:rFonts w:cs="Calibri"/>
              <w:sz w:val="24"/>
              <w:szCs w:val="24"/>
              <w:lang w:val="en-GB"/>
            </w:rPr>
            <w:t xml:space="preserve">the Commission </w:t>
          </w:r>
          <w:r w:rsidR="00EF2A5D" w:rsidRPr="000D4A19">
            <w:rPr>
              <w:rFonts w:cs="Calibri"/>
              <w:sz w:val="24"/>
              <w:szCs w:val="24"/>
              <w:lang w:val="en-GB"/>
            </w:rPr>
            <w:t>found</w:t>
          </w:r>
          <w:r w:rsidRPr="000D4A19">
            <w:rPr>
              <w:rFonts w:cs="Calibri"/>
              <w:sz w:val="24"/>
              <w:szCs w:val="24"/>
              <w:lang w:val="en-GB"/>
            </w:rPr>
            <w:t xml:space="preserve"> out that an official did not declare all his assets</w:t>
          </w:r>
          <w:r w:rsidR="00BF182A">
            <w:rPr>
              <w:rFonts w:cs="Calibri"/>
              <w:sz w:val="24"/>
              <w:szCs w:val="24"/>
              <w:lang w:val="en-GB"/>
            </w:rPr>
            <w:t xml:space="preserve"> or income</w:t>
          </w:r>
          <w:r w:rsidRPr="000D4A19">
            <w:rPr>
              <w:rFonts w:cs="Calibri"/>
              <w:sz w:val="24"/>
              <w:szCs w:val="24"/>
              <w:lang w:val="en-GB"/>
            </w:rPr>
            <w:t>. The GET would find this a step back upon the current process and trusts that this</w:t>
          </w:r>
          <w:r w:rsidR="004D24A0" w:rsidRPr="000D4A19">
            <w:rPr>
              <w:rFonts w:cs="Calibri"/>
              <w:sz w:val="24"/>
              <w:szCs w:val="24"/>
              <w:lang w:val="en-GB"/>
            </w:rPr>
            <w:t xml:space="preserve"> idea will not be included in the </w:t>
          </w:r>
          <w:r w:rsidR="00534C7B" w:rsidRPr="000D4A19">
            <w:rPr>
              <w:rFonts w:cs="Calibri"/>
              <w:sz w:val="24"/>
              <w:szCs w:val="24"/>
              <w:lang w:val="en-GB"/>
            </w:rPr>
            <w:t>new Law on the Prevention of Conflicts of Interest, planned to be drafted in 2020</w:t>
          </w:r>
          <w:r w:rsidRPr="000D4A19">
            <w:rPr>
              <w:rFonts w:cs="Calibri"/>
              <w:sz w:val="24"/>
              <w:szCs w:val="24"/>
              <w:lang w:val="en-GB"/>
            </w:rPr>
            <w:t>.</w:t>
          </w:r>
        </w:p>
        <w:p w14:paraId="54214AC1" w14:textId="77777777" w:rsidR="009919AC" w:rsidRPr="000D4A19" w:rsidRDefault="009919AC" w:rsidP="004B7CAB">
          <w:pPr>
            <w:tabs>
              <w:tab w:val="num" w:pos="8222"/>
            </w:tabs>
            <w:spacing w:after="0" w:line="240" w:lineRule="auto"/>
            <w:jc w:val="both"/>
            <w:rPr>
              <w:rFonts w:cs="Calibri"/>
              <w:sz w:val="24"/>
              <w:szCs w:val="24"/>
              <w:lang w:val="en-GB"/>
            </w:rPr>
          </w:pPr>
        </w:p>
        <w:p w14:paraId="77D9D4F0" w14:textId="7CFB9809" w:rsidR="00236441" w:rsidRPr="000D4A19" w:rsidRDefault="009919AC" w:rsidP="0010211F">
          <w:pPr>
            <w:numPr>
              <w:ilvl w:val="0"/>
              <w:numId w:val="1"/>
            </w:numPr>
            <w:tabs>
              <w:tab w:val="num" w:pos="681"/>
              <w:tab w:val="num" w:pos="1557"/>
              <w:tab w:val="num" w:pos="8222"/>
            </w:tabs>
            <w:spacing w:after="0" w:line="240" w:lineRule="auto"/>
            <w:ind w:left="0" w:firstLine="0"/>
            <w:jc w:val="both"/>
            <w:rPr>
              <w:rFonts w:cstheme="minorHAnsi"/>
              <w:sz w:val="24"/>
              <w:szCs w:val="24"/>
              <w:lang w:val="en-GB"/>
            </w:rPr>
          </w:pPr>
          <w:r w:rsidRPr="000D4A19">
            <w:rPr>
              <w:rFonts w:cs="Calibri"/>
              <w:sz w:val="24"/>
              <w:szCs w:val="24"/>
              <w:lang w:val="en-GB"/>
            </w:rPr>
            <w:t xml:space="preserve">The Commission can impose </w:t>
          </w:r>
          <w:r w:rsidRPr="000D4A19">
            <w:rPr>
              <w:rFonts w:cs="Calibri"/>
              <w:sz w:val="24"/>
              <w:szCs w:val="24"/>
              <w:u w:val="single"/>
              <w:lang w:val="en-GB"/>
            </w:rPr>
            <w:t>administrative sanctions</w:t>
          </w:r>
          <w:r w:rsidRPr="000D4A19">
            <w:rPr>
              <w:rFonts w:cs="Calibri"/>
              <w:sz w:val="24"/>
              <w:szCs w:val="24"/>
              <w:lang w:val="en-GB"/>
            </w:rPr>
            <w:t xml:space="preserve"> for non-compliance with the LCI, in the form of a reprimand, a suspension of salary in an amount of 2</w:t>
          </w:r>
          <w:r w:rsidR="00EF2A5D" w:rsidRPr="000D4A19">
            <w:rPr>
              <w:rFonts w:cs="Calibri"/>
              <w:sz w:val="24"/>
              <w:szCs w:val="24"/>
              <w:lang w:val="en-GB"/>
            </w:rPr>
            <w:t xml:space="preserve"> </w:t>
          </w:r>
          <w:r w:rsidRPr="000D4A19">
            <w:rPr>
              <w:rFonts w:cs="Calibri"/>
              <w:sz w:val="24"/>
              <w:szCs w:val="24"/>
              <w:lang w:val="en-GB"/>
            </w:rPr>
            <w:t>000 to 40</w:t>
          </w:r>
          <w:r w:rsidR="00EF2A5D" w:rsidRPr="000D4A19">
            <w:rPr>
              <w:rFonts w:cs="Calibri"/>
              <w:sz w:val="24"/>
              <w:szCs w:val="24"/>
              <w:lang w:val="en-GB"/>
            </w:rPr>
            <w:t xml:space="preserve"> </w:t>
          </w:r>
          <w:r w:rsidRPr="000D4A19">
            <w:rPr>
              <w:rFonts w:cs="Calibri"/>
              <w:sz w:val="24"/>
              <w:szCs w:val="24"/>
              <w:lang w:val="en-GB"/>
            </w:rPr>
            <w:t>000 HRK (approximately 270 to 5</w:t>
          </w:r>
          <w:r w:rsidR="00EF2A5D" w:rsidRPr="000D4A19">
            <w:rPr>
              <w:rFonts w:cs="Calibri"/>
              <w:sz w:val="24"/>
              <w:szCs w:val="24"/>
              <w:lang w:val="en-GB"/>
            </w:rPr>
            <w:t xml:space="preserve"> </w:t>
          </w:r>
          <w:r w:rsidRPr="000D4A19">
            <w:rPr>
              <w:rFonts w:cs="Calibri"/>
              <w:sz w:val="24"/>
              <w:szCs w:val="24"/>
              <w:lang w:val="en-GB"/>
            </w:rPr>
            <w:t xml:space="preserve">400 EUR, but no more than half of the official’s salary) for a period of up to 12 months. </w:t>
          </w:r>
          <w:r w:rsidR="00F85CD6" w:rsidRPr="000D4A19">
            <w:rPr>
              <w:rFonts w:cs="Calibri"/>
              <w:sz w:val="24"/>
              <w:szCs w:val="24"/>
              <w:lang w:val="en-GB"/>
            </w:rPr>
            <w:t xml:space="preserve">Fines would be paid from the monthly salary </w:t>
          </w:r>
          <w:r w:rsidR="000F34EA" w:rsidRPr="000D4A19">
            <w:rPr>
              <w:rFonts w:cs="Calibri"/>
              <w:sz w:val="24"/>
              <w:szCs w:val="24"/>
              <w:lang w:val="en-GB"/>
            </w:rPr>
            <w:t>of an official. The GET has several misgivings about the system of sanctions under the LCI. First of all, as already noted in the part on conflicts of interest above</w:t>
          </w:r>
          <w:r w:rsidR="00EB35D7" w:rsidRPr="000D4A19">
            <w:rPr>
              <w:rFonts w:cs="Calibri"/>
              <w:sz w:val="24"/>
              <w:szCs w:val="24"/>
              <w:lang w:val="en-GB"/>
            </w:rPr>
            <w:t xml:space="preserve">, the </w:t>
          </w:r>
          <w:r w:rsidR="00534C7B" w:rsidRPr="000D4A19">
            <w:rPr>
              <w:rFonts w:cs="Calibri"/>
              <w:sz w:val="24"/>
              <w:szCs w:val="24"/>
              <w:lang w:val="en-GB"/>
            </w:rPr>
            <w:t xml:space="preserve">Constitutional Court has referred a case back to the competent administrative court </w:t>
          </w:r>
          <w:r w:rsidR="00BD0419" w:rsidRPr="000D4A19">
            <w:rPr>
              <w:rFonts w:cs="Calibri"/>
              <w:sz w:val="24"/>
              <w:szCs w:val="24"/>
              <w:lang w:val="en-GB"/>
            </w:rPr>
            <w:t xml:space="preserve">in order to provide further interpretation </w:t>
          </w:r>
          <w:r w:rsidR="00117AD8">
            <w:rPr>
              <w:rFonts w:cs="Calibri"/>
              <w:sz w:val="24"/>
              <w:szCs w:val="24"/>
              <w:lang w:val="en-GB"/>
            </w:rPr>
            <w:t xml:space="preserve">of </w:t>
          </w:r>
          <w:r w:rsidR="00EB35D7" w:rsidRPr="000D4A19">
            <w:rPr>
              <w:rFonts w:cs="Calibri"/>
              <w:sz w:val="24"/>
              <w:szCs w:val="24"/>
              <w:lang w:val="en-GB"/>
            </w:rPr>
            <w:t>Article 2 of the LCI, which the GET considers a key provision of the LCI,</w:t>
          </w:r>
          <w:r w:rsidR="00BD0419" w:rsidRPr="000D4A19">
            <w:rPr>
              <w:rFonts w:cs="Calibri"/>
              <w:sz w:val="24"/>
              <w:szCs w:val="24"/>
              <w:lang w:val="en-GB"/>
            </w:rPr>
            <w:t xml:space="preserve"> and Article 5 of the LCI (on the general principles of action in the exercise of public office)</w:t>
          </w:r>
          <w:r w:rsidR="00E347EF">
            <w:rPr>
              <w:rFonts w:cs="Calibri"/>
              <w:sz w:val="24"/>
              <w:szCs w:val="24"/>
              <w:lang w:val="en-GB"/>
            </w:rPr>
            <w:t xml:space="preserve">, posing the question whether this would need be linked </w:t>
          </w:r>
          <w:r w:rsidR="00BD0419" w:rsidRPr="000D4A19">
            <w:rPr>
              <w:rFonts w:cs="Calibri"/>
              <w:sz w:val="24"/>
              <w:szCs w:val="24"/>
              <w:lang w:val="en-GB"/>
            </w:rPr>
            <w:t>to a more specific provision of the LCI</w:t>
          </w:r>
          <w:r w:rsidR="00EB35D7" w:rsidRPr="000D4A19">
            <w:rPr>
              <w:rFonts w:cs="Calibri"/>
              <w:sz w:val="24"/>
              <w:szCs w:val="24"/>
              <w:lang w:val="en-GB"/>
            </w:rPr>
            <w:t>. Already now</w:t>
          </w:r>
          <w:r w:rsidR="00BD0419" w:rsidRPr="000D4A19">
            <w:rPr>
              <w:rFonts w:cs="Calibri"/>
              <w:sz w:val="24"/>
              <w:szCs w:val="24"/>
              <w:lang w:val="en-GB"/>
            </w:rPr>
            <w:t>, when it comes to Articles 2 and 5 of the LCI,</w:t>
          </w:r>
          <w:r w:rsidR="00EB35D7" w:rsidRPr="000D4A19">
            <w:rPr>
              <w:rFonts w:cs="Calibri"/>
              <w:sz w:val="24"/>
              <w:szCs w:val="24"/>
              <w:lang w:val="en-GB"/>
            </w:rPr>
            <w:t xml:space="preserve"> the Commission can only establish that there was a violation, but </w:t>
          </w:r>
          <w:r w:rsidR="00EF090F" w:rsidRPr="000D4A19">
            <w:rPr>
              <w:rFonts w:cs="Calibri"/>
              <w:sz w:val="24"/>
              <w:szCs w:val="24"/>
              <w:lang w:val="en-GB"/>
            </w:rPr>
            <w:t>cannot impose a sanction</w:t>
          </w:r>
          <w:r w:rsidR="003B5013">
            <w:rPr>
              <w:rFonts w:cs="Calibri"/>
              <w:sz w:val="24"/>
              <w:szCs w:val="24"/>
              <w:lang w:val="en-GB"/>
            </w:rPr>
            <w:t xml:space="preserve">. It is currently not possible to </w:t>
          </w:r>
          <w:r w:rsidR="000F34EA" w:rsidRPr="000D4A19">
            <w:rPr>
              <w:rFonts w:cs="Calibri"/>
              <w:sz w:val="24"/>
              <w:szCs w:val="24"/>
              <w:lang w:val="en-GB"/>
            </w:rPr>
            <w:t xml:space="preserve">reverse decisions by officials which were taken in violation of the conflicts of interest provisions </w:t>
          </w:r>
          <w:r w:rsidR="00EF090F" w:rsidRPr="000D4A19">
            <w:rPr>
              <w:rFonts w:cs="Calibri"/>
              <w:sz w:val="24"/>
              <w:szCs w:val="24"/>
              <w:lang w:val="en-GB"/>
            </w:rPr>
            <w:t>n</w:t>
          </w:r>
          <w:r w:rsidR="000F34EA" w:rsidRPr="000D4A19">
            <w:rPr>
              <w:rFonts w:cs="Calibri"/>
              <w:sz w:val="24"/>
              <w:szCs w:val="24"/>
              <w:lang w:val="en-GB"/>
            </w:rPr>
            <w:t xml:space="preserve">or </w:t>
          </w:r>
          <w:r w:rsidR="003B5013">
            <w:rPr>
              <w:rFonts w:cs="Calibri"/>
              <w:sz w:val="24"/>
              <w:szCs w:val="24"/>
              <w:lang w:val="en-GB"/>
            </w:rPr>
            <w:t xml:space="preserve">to </w:t>
          </w:r>
          <w:r w:rsidR="000F34EA" w:rsidRPr="000D4A19">
            <w:rPr>
              <w:rFonts w:cs="Calibri"/>
              <w:sz w:val="24"/>
              <w:szCs w:val="24"/>
              <w:lang w:val="en-GB"/>
            </w:rPr>
            <w:t>overturn the advantage the official may have obtained by placing his/her private interest above the public interest, in violation of the provisions of the LCI, if t</w:t>
          </w:r>
          <w:r w:rsidR="005B41F6" w:rsidRPr="000D4A19">
            <w:rPr>
              <w:rFonts w:cs="Calibri"/>
              <w:sz w:val="24"/>
              <w:szCs w:val="24"/>
              <w:lang w:val="en-GB"/>
            </w:rPr>
            <w:t>his d</w:t>
          </w:r>
          <w:r w:rsidR="00D22E2C">
            <w:rPr>
              <w:rFonts w:cs="Calibri"/>
              <w:sz w:val="24"/>
              <w:szCs w:val="24"/>
              <w:lang w:val="en-GB"/>
            </w:rPr>
            <w:t>oes</w:t>
          </w:r>
          <w:r w:rsidR="005B41F6" w:rsidRPr="000D4A19">
            <w:rPr>
              <w:rFonts w:cs="Calibri"/>
              <w:sz w:val="24"/>
              <w:szCs w:val="24"/>
              <w:lang w:val="en-GB"/>
            </w:rPr>
            <w:t xml:space="preserve"> not at the same time r</w:t>
          </w:r>
          <w:r w:rsidR="007E2009" w:rsidRPr="000D4A19">
            <w:rPr>
              <w:rFonts w:cs="Calibri"/>
              <w:sz w:val="24"/>
              <w:szCs w:val="24"/>
              <w:lang w:val="en-GB"/>
            </w:rPr>
            <w:t>i</w:t>
          </w:r>
          <w:r w:rsidR="000F34EA" w:rsidRPr="000D4A19">
            <w:rPr>
              <w:rFonts w:cs="Calibri"/>
              <w:sz w:val="24"/>
              <w:szCs w:val="24"/>
              <w:lang w:val="en-GB"/>
            </w:rPr>
            <w:t xml:space="preserve">se to the level of crime. </w:t>
          </w:r>
          <w:r w:rsidR="00BC04B1" w:rsidRPr="000D4A19">
            <w:rPr>
              <w:rFonts w:cs="Calibri"/>
              <w:sz w:val="24"/>
              <w:szCs w:val="24"/>
              <w:lang w:val="en-GB"/>
            </w:rPr>
            <w:t>Similarly, lack of cooperation with the Commission (e.g. not providing the required information) seems to have no consequences. In this connection, the GET stresses the importance for all official</w:t>
          </w:r>
          <w:r w:rsidR="007E2009" w:rsidRPr="000D4A19">
            <w:rPr>
              <w:rFonts w:cs="Calibri"/>
              <w:sz w:val="24"/>
              <w:szCs w:val="24"/>
              <w:lang w:val="en-GB"/>
            </w:rPr>
            <w:t>s</w:t>
          </w:r>
          <w:r w:rsidR="00BC04B1" w:rsidRPr="000D4A19">
            <w:rPr>
              <w:rFonts w:cs="Calibri"/>
              <w:sz w:val="24"/>
              <w:szCs w:val="24"/>
              <w:lang w:val="en-GB"/>
            </w:rPr>
            <w:t xml:space="preserve"> (irrespective of their position) in Croatia to </w:t>
          </w:r>
          <w:r w:rsidR="00F963B1" w:rsidRPr="000D4A19">
            <w:rPr>
              <w:rFonts w:cs="Calibri"/>
              <w:sz w:val="24"/>
              <w:szCs w:val="24"/>
              <w:lang w:val="en-GB"/>
            </w:rPr>
            <w:t xml:space="preserve">show full co-operation with the Commission, so that it can properly and effectively fulfil its mandate. </w:t>
          </w:r>
        </w:p>
        <w:p w14:paraId="3B8E9B60" w14:textId="77777777" w:rsidR="00236441" w:rsidRPr="000D4A19" w:rsidRDefault="00236441" w:rsidP="00236441">
          <w:pPr>
            <w:tabs>
              <w:tab w:val="num" w:pos="3403"/>
              <w:tab w:val="num" w:pos="8222"/>
            </w:tabs>
            <w:spacing w:after="0" w:line="240" w:lineRule="auto"/>
            <w:jc w:val="both"/>
            <w:rPr>
              <w:rFonts w:cstheme="minorHAnsi"/>
              <w:sz w:val="24"/>
              <w:szCs w:val="24"/>
              <w:lang w:val="en-GB"/>
            </w:rPr>
          </w:pPr>
        </w:p>
        <w:p w14:paraId="773081D0" w14:textId="5B04900C" w:rsidR="00516B13" w:rsidRPr="000D4A19" w:rsidRDefault="005B41F6" w:rsidP="0010211F">
          <w:pPr>
            <w:numPr>
              <w:ilvl w:val="0"/>
              <w:numId w:val="1"/>
            </w:numPr>
            <w:tabs>
              <w:tab w:val="num" w:pos="681"/>
              <w:tab w:val="num" w:pos="1557"/>
              <w:tab w:val="num" w:pos="8222"/>
            </w:tabs>
            <w:spacing w:after="0" w:line="240" w:lineRule="auto"/>
            <w:ind w:left="0" w:firstLine="0"/>
            <w:jc w:val="both"/>
            <w:rPr>
              <w:rFonts w:cstheme="minorHAnsi"/>
              <w:sz w:val="24"/>
              <w:szCs w:val="24"/>
              <w:lang w:val="en-GB"/>
            </w:rPr>
          </w:pPr>
          <w:r w:rsidRPr="000D4A19">
            <w:rPr>
              <w:rFonts w:cs="Calibri"/>
              <w:sz w:val="24"/>
              <w:szCs w:val="24"/>
              <w:lang w:val="en-GB"/>
            </w:rPr>
            <w:t xml:space="preserve">Secondly, as the fines under the LCI are </w:t>
          </w:r>
          <w:r w:rsidR="000F34EA" w:rsidRPr="000D4A19">
            <w:rPr>
              <w:rFonts w:cs="Calibri"/>
              <w:sz w:val="24"/>
              <w:szCs w:val="24"/>
              <w:lang w:val="en-GB"/>
            </w:rPr>
            <w:t xml:space="preserve">explicitly linked to the salary of an official, </w:t>
          </w:r>
          <w:r w:rsidRPr="000D4A19">
            <w:rPr>
              <w:rFonts w:cs="Calibri"/>
              <w:sz w:val="24"/>
              <w:szCs w:val="24"/>
              <w:lang w:val="en-GB"/>
            </w:rPr>
            <w:t xml:space="preserve">they cannot be enforced when a person ceases to be an official. When discussing this issue on-site, the Commission itself did not see much of a problem with this for </w:t>
          </w:r>
          <w:r w:rsidR="00E347EF">
            <w:rPr>
              <w:rFonts w:cs="Calibri"/>
              <w:sz w:val="24"/>
              <w:szCs w:val="24"/>
              <w:lang w:val="en-GB"/>
            </w:rPr>
            <w:t xml:space="preserve">the </w:t>
          </w:r>
          <w:r w:rsidRPr="000D4A19">
            <w:rPr>
              <w:rFonts w:cs="Calibri"/>
              <w:sz w:val="24"/>
              <w:szCs w:val="24"/>
              <w:lang w:val="en-GB"/>
            </w:rPr>
            <w:t>PTEFs</w:t>
          </w:r>
          <w:r w:rsidR="00E347EF">
            <w:rPr>
              <w:rFonts w:cs="Calibri"/>
              <w:sz w:val="24"/>
              <w:szCs w:val="24"/>
              <w:lang w:val="en-GB"/>
            </w:rPr>
            <w:t xml:space="preserve"> covered by this report</w:t>
          </w:r>
          <w:r w:rsidRPr="000D4A19">
            <w:rPr>
              <w:rFonts w:cs="Calibri"/>
              <w:sz w:val="24"/>
              <w:szCs w:val="24"/>
              <w:lang w:val="en-GB"/>
            </w:rPr>
            <w:t>, as its decision that a conflict of interest had occurred or a</w:t>
          </w:r>
          <w:r w:rsidR="00BF182A">
            <w:rPr>
              <w:rFonts w:cs="Calibri"/>
              <w:sz w:val="24"/>
              <w:szCs w:val="24"/>
              <w:lang w:val="en-GB"/>
            </w:rPr>
            <w:t xml:space="preserve"> financial</w:t>
          </w:r>
          <w:r w:rsidRPr="000D4A19">
            <w:rPr>
              <w:rFonts w:cs="Calibri"/>
              <w:sz w:val="24"/>
              <w:szCs w:val="24"/>
              <w:lang w:val="en-GB"/>
            </w:rPr>
            <w:t xml:space="preserve"> declaration was flawed would be </w:t>
          </w:r>
          <w:r w:rsidR="00EB35D7" w:rsidRPr="000D4A19">
            <w:rPr>
              <w:rFonts w:cs="Calibri"/>
              <w:sz w:val="24"/>
              <w:szCs w:val="24"/>
              <w:lang w:val="en-GB"/>
            </w:rPr>
            <w:t>sufficient as a sanction</w:t>
          </w:r>
          <w:r w:rsidRPr="000D4A19">
            <w:rPr>
              <w:rFonts w:cs="Calibri"/>
              <w:sz w:val="24"/>
              <w:szCs w:val="24"/>
              <w:lang w:val="en-GB"/>
            </w:rPr>
            <w:t xml:space="preserve">, for example, </w:t>
          </w:r>
          <w:r w:rsidR="007E2009" w:rsidRPr="000D4A19">
            <w:rPr>
              <w:rFonts w:cs="Calibri"/>
              <w:sz w:val="24"/>
              <w:szCs w:val="24"/>
              <w:lang w:val="en-GB"/>
            </w:rPr>
            <w:t xml:space="preserve">for </w:t>
          </w:r>
          <w:r w:rsidRPr="000D4A19">
            <w:rPr>
              <w:rFonts w:cs="Calibri"/>
              <w:sz w:val="24"/>
              <w:szCs w:val="24"/>
              <w:lang w:val="en-GB"/>
            </w:rPr>
            <w:t xml:space="preserve">a member of the government. The GET understands this argumentation but is also aware that this has created problems in the past </w:t>
          </w:r>
          <w:r w:rsidR="0010211F" w:rsidRPr="000D4A19">
            <w:rPr>
              <w:rFonts w:cs="Calibri"/>
              <w:sz w:val="24"/>
              <w:szCs w:val="24"/>
              <w:lang w:val="en-GB"/>
            </w:rPr>
            <w:t>with certain officials who are less in the public eye</w:t>
          </w:r>
          <w:r w:rsidR="004F2016" w:rsidRPr="000D4A19">
            <w:rPr>
              <w:rFonts w:cs="Calibri"/>
              <w:sz w:val="24"/>
              <w:szCs w:val="24"/>
              <w:lang w:val="en-GB"/>
            </w:rPr>
            <w:t>, leaving</w:t>
          </w:r>
          <w:r w:rsidRPr="000D4A19">
            <w:rPr>
              <w:rFonts w:cs="Calibri"/>
              <w:sz w:val="24"/>
              <w:szCs w:val="24"/>
              <w:lang w:val="en-GB"/>
            </w:rPr>
            <w:t xml:space="preserve"> the public with the impression that </w:t>
          </w:r>
          <w:r w:rsidR="00933AF5" w:rsidRPr="000D4A19">
            <w:rPr>
              <w:rFonts w:cs="Calibri"/>
              <w:sz w:val="24"/>
              <w:szCs w:val="24"/>
              <w:lang w:val="en-GB"/>
            </w:rPr>
            <w:t xml:space="preserve">they </w:t>
          </w:r>
          <w:r w:rsidRPr="000D4A19">
            <w:rPr>
              <w:rFonts w:cs="Calibri"/>
              <w:sz w:val="24"/>
              <w:szCs w:val="24"/>
              <w:lang w:val="en-GB"/>
            </w:rPr>
            <w:t xml:space="preserve">are above the law. </w:t>
          </w:r>
        </w:p>
        <w:p w14:paraId="7410C0C9" w14:textId="77777777" w:rsidR="00516B13" w:rsidRPr="000D4A19" w:rsidRDefault="00516B13" w:rsidP="00516B13">
          <w:pPr>
            <w:tabs>
              <w:tab w:val="num" w:pos="3403"/>
              <w:tab w:val="num" w:pos="8222"/>
            </w:tabs>
            <w:spacing w:after="0" w:line="240" w:lineRule="auto"/>
            <w:jc w:val="both"/>
            <w:rPr>
              <w:rFonts w:cstheme="minorHAnsi"/>
              <w:sz w:val="24"/>
              <w:szCs w:val="24"/>
              <w:lang w:val="en-GB"/>
            </w:rPr>
          </w:pPr>
        </w:p>
        <w:p w14:paraId="0E9B65A6" w14:textId="707670DD" w:rsidR="00DB6E64" w:rsidRPr="000D4A19" w:rsidRDefault="00516B13" w:rsidP="00026363">
          <w:pPr>
            <w:numPr>
              <w:ilvl w:val="0"/>
              <w:numId w:val="1"/>
            </w:numPr>
            <w:tabs>
              <w:tab w:val="num" w:pos="681"/>
              <w:tab w:val="num" w:pos="1557"/>
              <w:tab w:val="num" w:pos="8222"/>
            </w:tabs>
            <w:spacing w:after="0" w:line="240" w:lineRule="auto"/>
            <w:ind w:left="0" w:firstLine="0"/>
            <w:jc w:val="both"/>
            <w:rPr>
              <w:rFonts w:cstheme="minorHAnsi"/>
              <w:sz w:val="24"/>
              <w:szCs w:val="24"/>
              <w:lang w:val="en-GB"/>
            </w:rPr>
          </w:pPr>
          <w:r w:rsidRPr="000D4A19">
            <w:rPr>
              <w:rFonts w:cs="Calibri"/>
              <w:sz w:val="24"/>
              <w:szCs w:val="24"/>
              <w:lang w:val="en-GB"/>
            </w:rPr>
            <w:t>Thirdly,</w:t>
          </w:r>
          <w:r w:rsidR="00897F00" w:rsidRPr="000D4A19">
            <w:rPr>
              <w:rFonts w:cs="Calibri"/>
              <w:sz w:val="24"/>
              <w:szCs w:val="24"/>
              <w:lang w:val="en-GB"/>
            </w:rPr>
            <w:t xml:space="preserve"> the GET finds that no criteria are set to determine the appropriate sanction in a given case. It i</w:t>
          </w:r>
          <w:r w:rsidR="00026363" w:rsidRPr="000D4A19">
            <w:rPr>
              <w:rFonts w:cs="Calibri"/>
              <w:sz w:val="24"/>
              <w:szCs w:val="24"/>
              <w:lang w:val="en-GB"/>
            </w:rPr>
            <w:t>s</w:t>
          </w:r>
          <w:r w:rsidR="00897F00" w:rsidRPr="000D4A19">
            <w:rPr>
              <w:rFonts w:cs="Calibri"/>
              <w:sz w:val="24"/>
              <w:szCs w:val="24"/>
              <w:lang w:val="en-GB"/>
            </w:rPr>
            <w:t xml:space="preserve"> currently not clear enough which violations of the Law are to be considered “manifestly light forms of violations” (Article 43), for which an official may be reprimanded and which are to be considered more severe ones. </w:t>
          </w:r>
          <w:r w:rsidR="00026363" w:rsidRPr="000D4A19">
            <w:rPr>
              <w:rFonts w:cs="Calibri"/>
              <w:sz w:val="24"/>
              <w:szCs w:val="24"/>
              <w:lang w:val="en-GB"/>
            </w:rPr>
            <w:t xml:space="preserve">The GET </w:t>
          </w:r>
          <w:r w:rsidR="00897F00" w:rsidRPr="000D4A19">
            <w:rPr>
              <w:rFonts w:cs="Calibri"/>
              <w:sz w:val="24"/>
              <w:szCs w:val="24"/>
              <w:lang w:val="en-GB"/>
            </w:rPr>
            <w:t xml:space="preserve">takes the view </w:t>
          </w:r>
          <w:r w:rsidR="00026363" w:rsidRPr="000D4A19">
            <w:rPr>
              <w:rFonts w:cs="Calibri"/>
              <w:sz w:val="24"/>
              <w:szCs w:val="24"/>
              <w:lang w:val="en-GB"/>
            </w:rPr>
            <w:t xml:space="preserve">that it would be useful to clarify the proportionality of sanctions under the Law. </w:t>
          </w:r>
          <w:r w:rsidR="00FC69FB" w:rsidRPr="000D4A19">
            <w:rPr>
              <w:rFonts w:cs="Calibri"/>
              <w:sz w:val="24"/>
              <w:szCs w:val="24"/>
              <w:lang w:val="en-GB"/>
            </w:rPr>
            <w:t>In light of the foregoing</w:t>
          </w:r>
          <w:r w:rsidR="00236441" w:rsidRPr="000D4A19">
            <w:rPr>
              <w:rFonts w:cs="Calibri"/>
              <w:sz w:val="24"/>
              <w:szCs w:val="24"/>
              <w:lang w:val="en-GB"/>
            </w:rPr>
            <w:t xml:space="preserve"> paragraphs</w:t>
          </w:r>
          <w:r w:rsidR="00FC69FB" w:rsidRPr="000D4A19">
            <w:rPr>
              <w:rFonts w:cs="Calibri"/>
              <w:sz w:val="24"/>
              <w:szCs w:val="24"/>
              <w:lang w:val="en-GB"/>
            </w:rPr>
            <w:t xml:space="preserve">, </w:t>
          </w:r>
          <w:r w:rsidR="00FC69FB" w:rsidRPr="000D4A19">
            <w:rPr>
              <w:rFonts w:cs="Calibri"/>
              <w:b/>
              <w:sz w:val="24"/>
              <w:szCs w:val="24"/>
              <w:lang w:val="en-GB"/>
            </w:rPr>
            <w:t xml:space="preserve">GRECO recommends </w:t>
          </w:r>
          <w:bookmarkStart w:id="117" w:name="_Hlk26535802"/>
          <w:r w:rsidR="00150465" w:rsidRPr="000D4A19">
            <w:rPr>
              <w:rFonts w:cs="Calibri"/>
              <w:b/>
              <w:sz w:val="24"/>
              <w:szCs w:val="24"/>
              <w:lang w:val="en-GB"/>
            </w:rPr>
            <w:t xml:space="preserve">that </w:t>
          </w:r>
          <w:bookmarkStart w:id="118" w:name="_Hlk22745666"/>
          <w:r w:rsidRPr="000D4A19">
            <w:rPr>
              <w:rFonts w:cs="Calibri"/>
              <w:b/>
              <w:sz w:val="24"/>
              <w:szCs w:val="24"/>
              <w:lang w:val="en-GB"/>
            </w:rPr>
            <w:t xml:space="preserve">(i) </w:t>
          </w:r>
          <w:r w:rsidR="00FC69FB" w:rsidRPr="000D4A19">
            <w:rPr>
              <w:rFonts w:cs="Calibri"/>
              <w:b/>
              <w:sz w:val="24"/>
              <w:szCs w:val="24"/>
              <w:lang w:val="en-GB"/>
            </w:rPr>
            <w:t>the available sanctions for violations of the Law on the Prevention of Conflicts of Interest</w:t>
          </w:r>
          <w:r w:rsidRPr="000D4A19">
            <w:rPr>
              <w:rFonts w:cs="Calibri"/>
              <w:b/>
              <w:sz w:val="24"/>
              <w:szCs w:val="24"/>
              <w:lang w:val="en-GB"/>
            </w:rPr>
            <w:t xml:space="preserve"> be reviewed</w:t>
          </w:r>
          <w:r w:rsidR="00FC69FB" w:rsidRPr="000D4A19">
            <w:rPr>
              <w:rFonts w:cs="Calibri"/>
              <w:b/>
              <w:sz w:val="24"/>
              <w:szCs w:val="24"/>
              <w:lang w:val="en-GB"/>
            </w:rPr>
            <w:t xml:space="preserve">, to ensure </w:t>
          </w:r>
          <w:r w:rsidR="0010211F" w:rsidRPr="000D4A19">
            <w:rPr>
              <w:rFonts w:cs="Calibri"/>
              <w:b/>
              <w:sz w:val="24"/>
              <w:szCs w:val="24"/>
              <w:lang w:val="en-GB"/>
            </w:rPr>
            <w:t>that all violations of the Law have proper consequences</w:t>
          </w:r>
          <w:r w:rsidRPr="000D4A19">
            <w:rPr>
              <w:rFonts w:cs="Calibri"/>
              <w:b/>
              <w:sz w:val="24"/>
              <w:szCs w:val="24"/>
              <w:lang w:val="en-GB"/>
            </w:rPr>
            <w:t xml:space="preserve"> and (ii) the proportionality of sanctions under the Law be clarified</w:t>
          </w:r>
          <w:bookmarkEnd w:id="117"/>
          <w:r w:rsidRPr="000D4A19">
            <w:rPr>
              <w:rFonts w:cs="Calibri"/>
              <w:b/>
              <w:sz w:val="24"/>
              <w:szCs w:val="24"/>
              <w:lang w:val="en-GB"/>
            </w:rPr>
            <w:t xml:space="preserve">.  </w:t>
          </w:r>
        </w:p>
        <w:p w14:paraId="68640739" w14:textId="77777777" w:rsidR="0010211F" w:rsidRPr="000D4A19" w:rsidRDefault="0010211F" w:rsidP="0010211F">
          <w:pPr>
            <w:tabs>
              <w:tab w:val="num" w:pos="1557"/>
              <w:tab w:val="num" w:pos="8222"/>
            </w:tabs>
            <w:spacing w:after="0" w:line="240" w:lineRule="auto"/>
            <w:jc w:val="both"/>
            <w:rPr>
              <w:rFonts w:cstheme="minorHAnsi"/>
              <w:sz w:val="24"/>
              <w:szCs w:val="24"/>
              <w:lang w:val="en-GB"/>
            </w:rPr>
          </w:pPr>
        </w:p>
        <w:bookmarkEnd w:id="118"/>
        <w:p w14:paraId="27C880B9" w14:textId="55E23715" w:rsidR="009919AC" w:rsidRPr="000D4A19" w:rsidRDefault="009919AC" w:rsidP="000C52D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In </w:t>
          </w:r>
          <w:r w:rsidR="00FC69FB" w:rsidRPr="000D4A19">
            <w:rPr>
              <w:rFonts w:cstheme="minorHAnsi"/>
              <w:sz w:val="24"/>
              <w:szCs w:val="24"/>
              <w:lang w:val="en-GB"/>
            </w:rPr>
            <w:t>a period of five years (</w:t>
          </w:r>
          <w:r w:rsidRPr="000D4A19">
            <w:rPr>
              <w:rFonts w:cstheme="minorHAnsi"/>
              <w:sz w:val="24"/>
              <w:szCs w:val="24"/>
              <w:lang w:val="en-GB"/>
            </w:rPr>
            <w:t xml:space="preserve">2014-2018), the Commission has launched a total of </w:t>
          </w:r>
          <w:r w:rsidR="003B5013">
            <w:rPr>
              <w:rFonts w:cstheme="minorHAnsi"/>
              <w:sz w:val="24"/>
              <w:szCs w:val="24"/>
              <w:lang w:val="en-GB"/>
            </w:rPr>
            <w:t>65</w:t>
          </w:r>
          <w:r w:rsidRPr="000D4A19">
            <w:rPr>
              <w:rFonts w:cstheme="minorHAnsi"/>
              <w:sz w:val="24"/>
              <w:szCs w:val="24"/>
              <w:lang w:val="en-GB"/>
            </w:rPr>
            <w:t xml:space="preserve"> proceedings against </w:t>
          </w:r>
          <w:r w:rsidR="00B43D84" w:rsidRPr="000D4A19">
            <w:rPr>
              <w:rFonts w:cstheme="minorHAnsi"/>
              <w:sz w:val="24"/>
              <w:szCs w:val="24"/>
              <w:lang w:val="en-GB"/>
            </w:rPr>
            <w:t xml:space="preserve">PTEFs </w:t>
          </w:r>
          <w:r w:rsidRPr="000D4A19">
            <w:rPr>
              <w:rFonts w:cstheme="minorHAnsi"/>
              <w:sz w:val="24"/>
              <w:szCs w:val="24"/>
              <w:lang w:val="en-GB"/>
            </w:rPr>
            <w:t xml:space="preserve">in the framework of the LCI. In these </w:t>
          </w:r>
          <w:r w:rsidR="003B5013">
            <w:rPr>
              <w:rFonts w:cstheme="minorHAnsi"/>
              <w:sz w:val="24"/>
              <w:szCs w:val="24"/>
              <w:lang w:val="en-GB"/>
            </w:rPr>
            <w:t>65</w:t>
          </w:r>
          <w:r w:rsidRPr="000D4A19">
            <w:rPr>
              <w:rFonts w:cstheme="minorHAnsi"/>
              <w:sz w:val="24"/>
              <w:szCs w:val="24"/>
              <w:lang w:val="en-GB"/>
            </w:rPr>
            <w:t xml:space="preserve"> proceedings, </w:t>
          </w:r>
          <w:r w:rsidR="003B5013">
            <w:rPr>
              <w:rFonts w:cstheme="minorHAnsi"/>
              <w:sz w:val="24"/>
              <w:szCs w:val="24"/>
              <w:lang w:val="en-GB"/>
            </w:rPr>
            <w:t>59</w:t>
          </w:r>
          <w:r w:rsidRPr="000D4A19">
            <w:rPr>
              <w:rFonts w:cstheme="minorHAnsi"/>
              <w:sz w:val="24"/>
              <w:szCs w:val="24"/>
              <w:lang w:val="en-GB"/>
            </w:rPr>
            <w:t xml:space="preserve"> decisions were taken on merit, which resulted in no sanctions being imposed in 13 proceedings (</w:t>
          </w:r>
          <w:r w:rsidR="003B5013">
            <w:rPr>
              <w:rFonts w:cstheme="minorHAnsi"/>
              <w:sz w:val="24"/>
              <w:szCs w:val="24"/>
              <w:lang w:val="en-GB"/>
            </w:rPr>
            <w:t xml:space="preserve">either </w:t>
          </w:r>
          <w:r w:rsidRPr="000D4A19">
            <w:rPr>
              <w:rFonts w:cstheme="minorHAnsi"/>
              <w:sz w:val="24"/>
              <w:szCs w:val="24"/>
              <w:lang w:val="en-GB"/>
            </w:rPr>
            <w:t xml:space="preserve">because </w:t>
          </w:r>
          <w:r w:rsidR="00B43D84" w:rsidRPr="000D4A19">
            <w:rPr>
              <w:rFonts w:cstheme="minorHAnsi"/>
              <w:sz w:val="24"/>
              <w:szCs w:val="24"/>
              <w:lang w:val="en-GB"/>
            </w:rPr>
            <w:t xml:space="preserve">violations of Articles 2 and 5 of the LCI do not provide for any sanctions </w:t>
          </w:r>
          <w:r w:rsidR="003B5013">
            <w:rPr>
              <w:rFonts w:cstheme="minorHAnsi"/>
              <w:sz w:val="24"/>
              <w:szCs w:val="24"/>
              <w:lang w:val="en-GB"/>
            </w:rPr>
            <w:t xml:space="preserve">or </w:t>
          </w:r>
          <w:r w:rsidRPr="000D4A19">
            <w:rPr>
              <w:rFonts w:cstheme="minorHAnsi"/>
              <w:sz w:val="24"/>
              <w:szCs w:val="24"/>
              <w:lang w:val="en-GB"/>
            </w:rPr>
            <w:t>because more than 12 months had passed since the</w:t>
          </w:r>
          <w:r w:rsidR="00B43D84" w:rsidRPr="000D4A19">
            <w:rPr>
              <w:rFonts w:cstheme="minorHAnsi"/>
              <w:sz w:val="24"/>
              <w:szCs w:val="24"/>
              <w:lang w:val="en-GB"/>
            </w:rPr>
            <w:t xml:space="preserve"> officials</w:t>
          </w:r>
          <w:r w:rsidRPr="000D4A19">
            <w:rPr>
              <w:rFonts w:cstheme="minorHAnsi"/>
              <w:sz w:val="24"/>
              <w:szCs w:val="24"/>
              <w:lang w:val="en-GB"/>
            </w:rPr>
            <w:t xml:space="preserve"> had ended their public duties)</w:t>
          </w:r>
          <w:r w:rsidR="00B43D84" w:rsidRPr="000D4A19">
            <w:rPr>
              <w:rFonts w:cstheme="minorHAnsi"/>
              <w:sz w:val="24"/>
              <w:szCs w:val="24"/>
              <w:lang w:val="en-GB"/>
            </w:rPr>
            <w:t xml:space="preserve">, in </w:t>
          </w:r>
          <w:r w:rsidR="003B5013">
            <w:rPr>
              <w:rFonts w:cstheme="minorHAnsi"/>
              <w:sz w:val="24"/>
              <w:szCs w:val="24"/>
              <w:lang w:val="en-GB"/>
            </w:rPr>
            <w:t xml:space="preserve">eight cases </w:t>
          </w:r>
          <w:r w:rsidR="00B43D84" w:rsidRPr="000D4A19">
            <w:rPr>
              <w:rFonts w:cstheme="minorHAnsi"/>
              <w:sz w:val="24"/>
              <w:szCs w:val="24"/>
              <w:lang w:val="en-GB"/>
            </w:rPr>
            <w:t xml:space="preserve">a reprimand </w:t>
          </w:r>
          <w:r w:rsidR="00E347EF">
            <w:rPr>
              <w:rFonts w:cstheme="minorHAnsi"/>
              <w:sz w:val="24"/>
              <w:szCs w:val="24"/>
              <w:lang w:val="en-GB"/>
            </w:rPr>
            <w:t>was</w:t>
          </w:r>
          <w:r w:rsidR="00B43D84" w:rsidRPr="000D4A19">
            <w:rPr>
              <w:rFonts w:cstheme="minorHAnsi"/>
              <w:sz w:val="24"/>
              <w:szCs w:val="24"/>
              <w:lang w:val="en-GB"/>
            </w:rPr>
            <w:t xml:space="preserve"> issued </w:t>
          </w:r>
          <w:r w:rsidRPr="000D4A19">
            <w:rPr>
              <w:rFonts w:cstheme="minorHAnsi"/>
              <w:sz w:val="24"/>
              <w:szCs w:val="24"/>
              <w:lang w:val="en-GB"/>
            </w:rPr>
            <w:t xml:space="preserve">and in </w:t>
          </w:r>
          <w:r w:rsidR="003B5013">
            <w:rPr>
              <w:rFonts w:cstheme="minorHAnsi"/>
              <w:sz w:val="24"/>
              <w:szCs w:val="24"/>
              <w:lang w:val="en-GB"/>
            </w:rPr>
            <w:t>30</w:t>
          </w:r>
          <w:r w:rsidR="00B43D84" w:rsidRPr="000D4A19">
            <w:rPr>
              <w:rFonts w:cstheme="minorHAnsi"/>
              <w:sz w:val="24"/>
              <w:szCs w:val="24"/>
              <w:lang w:val="en-GB"/>
            </w:rPr>
            <w:t xml:space="preserve"> </w:t>
          </w:r>
          <w:r w:rsidRPr="000D4A19">
            <w:rPr>
              <w:rFonts w:cstheme="minorHAnsi"/>
              <w:sz w:val="24"/>
              <w:szCs w:val="24"/>
              <w:lang w:val="en-GB"/>
            </w:rPr>
            <w:t xml:space="preserve">proceedings part of the salary of the official concerned was suspended. </w:t>
          </w:r>
          <w:r w:rsidR="00EF090F" w:rsidRPr="000D4A19">
            <w:rPr>
              <w:rFonts w:cstheme="minorHAnsi"/>
              <w:sz w:val="24"/>
              <w:szCs w:val="24"/>
              <w:lang w:val="en-GB"/>
            </w:rPr>
            <w:t xml:space="preserve">In the same period, </w:t>
          </w:r>
          <w:r w:rsidR="003B5013">
            <w:rPr>
              <w:rFonts w:cstheme="minorHAnsi"/>
              <w:sz w:val="24"/>
              <w:szCs w:val="24"/>
              <w:lang w:val="en-GB"/>
            </w:rPr>
            <w:t>112</w:t>
          </w:r>
          <w:r w:rsidR="00B82D01" w:rsidRPr="000D4A19">
            <w:rPr>
              <w:rFonts w:cstheme="minorHAnsi"/>
              <w:sz w:val="24"/>
              <w:szCs w:val="24"/>
              <w:lang w:val="en-GB"/>
            </w:rPr>
            <w:t xml:space="preserve"> decisions were taken not to institute proceedings as there were no</w:t>
          </w:r>
          <w:r w:rsidR="00B82D01" w:rsidRPr="000D4A19">
            <w:rPr>
              <w:rFonts w:cstheme="minorHAnsi"/>
              <w:i/>
              <w:sz w:val="24"/>
              <w:szCs w:val="24"/>
              <w:lang w:val="en-GB"/>
            </w:rPr>
            <w:t xml:space="preserve"> </w:t>
          </w:r>
          <w:r w:rsidR="00B82D01" w:rsidRPr="000D4A19">
            <w:rPr>
              <w:rFonts w:cstheme="minorHAnsi"/>
              <w:sz w:val="24"/>
              <w:szCs w:val="24"/>
              <w:lang w:val="en-GB"/>
            </w:rPr>
            <w:t xml:space="preserve">indications that a violation of the LCI had taken place. </w:t>
          </w:r>
        </w:p>
        <w:p w14:paraId="51FEF61F"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cstheme="minorHAnsi"/>
              <w:b w:val="0"/>
              <w:i/>
              <w:color w:val="auto"/>
              <w:sz w:val="24"/>
              <w:szCs w:val="24"/>
              <w:lang w:val="en-GB"/>
            </w:rPr>
          </w:pPr>
        </w:p>
        <w:p w14:paraId="3D34F6F4"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cstheme="minorHAnsi"/>
              <w:b w:val="0"/>
              <w:i/>
              <w:color w:val="auto"/>
              <w:sz w:val="24"/>
              <w:szCs w:val="24"/>
              <w:u w:val="single"/>
              <w:lang w:val="en-GB"/>
            </w:rPr>
          </w:pPr>
          <w:bookmarkStart w:id="119" w:name="_Toc4762871"/>
          <w:bookmarkStart w:id="120" w:name="_Toc25229315"/>
          <w:r w:rsidRPr="000D4A19">
            <w:rPr>
              <w:rFonts w:asciiTheme="minorHAnsi" w:hAnsiTheme="minorHAnsi" w:cstheme="minorHAnsi"/>
              <w:b w:val="0"/>
              <w:i/>
              <w:color w:val="auto"/>
              <w:sz w:val="24"/>
              <w:szCs w:val="24"/>
              <w:lang w:val="en-GB"/>
            </w:rPr>
            <w:t>Criminal proceedings and immunities</w:t>
          </w:r>
          <w:bookmarkEnd w:id="119"/>
          <w:bookmarkEnd w:id="120"/>
        </w:p>
        <w:p w14:paraId="7CD6B0DD" w14:textId="77777777" w:rsidR="001F3698" w:rsidRPr="000D4A19" w:rsidRDefault="001F3698" w:rsidP="004B7CAB">
          <w:pPr>
            <w:spacing w:after="0" w:line="240" w:lineRule="auto"/>
            <w:jc w:val="both"/>
            <w:rPr>
              <w:rFonts w:cstheme="minorHAnsi"/>
              <w:sz w:val="24"/>
              <w:szCs w:val="24"/>
              <w:lang w:val="en-GB"/>
            </w:rPr>
          </w:pPr>
        </w:p>
        <w:p w14:paraId="1E4F6D11" w14:textId="04DE6018" w:rsidR="00BA5B10" w:rsidRPr="000D4A19" w:rsidRDefault="00BA5B10" w:rsidP="00BA5B10">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eastAsia="Times New Roman" w:cs="Times New Roman"/>
              <w:sz w:val="24"/>
              <w:szCs w:val="24"/>
              <w:lang w:val="en-GB" w:eastAsia="en-GB"/>
            </w:rPr>
            <w:t xml:space="preserve">Pursuant to Article 34 of the Law on Government, members of the government cannot be prosecuted for a criminal offence for which up to five years’ imprisonment is foreseen, without prior approval of the government. </w:t>
          </w:r>
          <w:r w:rsidR="000534EB" w:rsidRPr="000D4A19">
            <w:rPr>
              <w:rFonts w:eastAsia="Times New Roman" w:cs="Times New Roman"/>
              <w:sz w:val="24"/>
              <w:szCs w:val="24"/>
              <w:lang w:val="en-GB" w:eastAsia="en-GB"/>
            </w:rPr>
            <w:t xml:space="preserve">It would appear that no exceptions are made to this, not even when a member of the government is caught </w:t>
          </w:r>
          <w:r w:rsidR="000534EB" w:rsidRPr="000D4A19">
            <w:rPr>
              <w:rFonts w:eastAsia="Times New Roman" w:cs="Times New Roman"/>
              <w:i/>
              <w:sz w:val="24"/>
              <w:szCs w:val="24"/>
              <w:lang w:val="en-GB" w:eastAsia="en-GB"/>
            </w:rPr>
            <w:t>in flagrante delicto</w:t>
          </w:r>
          <w:r w:rsidRPr="000D4A19">
            <w:rPr>
              <w:rFonts w:cstheme="minorHAnsi"/>
              <w:sz w:val="24"/>
              <w:szCs w:val="24"/>
              <w:lang w:val="en-GB"/>
            </w:rPr>
            <w:t>.</w:t>
          </w:r>
        </w:p>
        <w:p w14:paraId="775D9F23" w14:textId="77777777" w:rsidR="00BA5B10" w:rsidRPr="000D4A19" w:rsidRDefault="00BA5B10" w:rsidP="00BA5B10">
          <w:pPr>
            <w:tabs>
              <w:tab w:val="num" w:pos="8222"/>
            </w:tabs>
            <w:spacing w:after="0" w:line="240" w:lineRule="auto"/>
            <w:jc w:val="both"/>
            <w:rPr>
              <w:rFonts w:cstheme="minorHAnsi"/>
              <w:sz w:val="24"/>
              <w:szCs w:val="24"/>
              <w:lang w:val="en-GB"/>
            </w:rPr>
          </w:pPr>
        </w:p>
        <w:p w14:paraId="17E345B8" w14:textId="4988A94E" w:rsidR="00F963B1" w:rsidRPr="000D4A19" w:rsidRDefault="001F3698"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Already in its</w:t>
          </w:r>
          <w:r w:rsidR="000534EB" w:rsidRPr="000D4A19">
            <w:rPr>
              <w:rFonts w:cstheme="minorHAnsi"/>
              <w:sz w:val="24"/>
              <w:szCs w:val="24"/>
              <w:lang w:val="en-GB"/>
            </w:rPr>
            <w:t xml:space="preserve"> </w:t>
          </w:r>
          <w:r w:rsidRPr="000D4A19">
            <w:rPr>
              <w:rFonts w:cstheme="minorHAnsi"/>
              <w:sz w:val="24"/>
              <w:szCs w:val="24"/>
              <w:lang w:val="en-GB"/>
            </w:rPr>
            <w:t>First Evaluation Round Report</w:t>
          </w:r>
          <w:r w:rsidR="003E7919" w:rsidRPr="000D4A19">
            <w:rPr>
              <w:rStyle w:val="Hiperveza"/>
              <w:rFonts w:cstheme="minorHAnsi"/>
              <w:color w:val="auto"/>
              <w:sz w:val="24"/>
              <w:szCs w:val="24"/>
              <w:u w:val="none"/>
              <w:lang w:val="en-GB"/>
            </w:rPr>
            <w:t xml:space="preserve"> on Croatia</w:t>
          </w:r>
          <w:r w:rsidRPr="000D4A19">
            <w:rPr>
              <w:rFonts w:cstheme="minorHAnsi"/>
              <w:sz w:val="24"/>
              <w:szCs w:val="24"/>
              <w:lang w:val="en-GB"/>
            </w:rPr>
            <w:t>, GRECO was critical of the system of immunities.</w:t>
          </w:r>
          <w:r w:rsidR="00EB35D7" w:rsidRPr="000D4A19">
            <w:rPr>
              <w:rStyle w:val="Referencafusnote"/>
              <w:rFonts w:cstheme="minorHAnsi"/>
              <w:sz w:val="24"/>
              <w:szCs w:val="24"/>
              <w:lang w:val="en-GB"/>
            </w:rPr>
            <w:footnoteReference w:id="47"/>
          </w:r>
          <w:r w:rsidRPr="000D4A19">
            <w:rPr>
              <w:rFonts w:cstheme="minorHAnsi"/>
              <w:sz w:val="24"/>
              <w:szCs w:val="24"/>
              <w:lang w:val="en-GB"/>
            </w:rPr>
            <w:t xml:space="preserve"> While it considered the circle of beneficiaries, who benefitted from procedural immunities, being “relatively broad” (as at that time it included the President of the Republic, Members of Parliament, members of the government, the State Judicial Council,</w:t>
          </w:r>
          <w:r w:rsidR="00EB35D7" w:rsidRPr="000D4A19">
            <w:rPr>
              <w:rFonts w:cstheme="minorHAnsi"/>
              <w:sz w:val="24"/>
              <w:szCs w:val="24"/>
              <w:lang w:val="en-GB"/>
            </w:rPr>
            <w:t xml:space="preserve"> judges and public prosecutors</w:t>
          </w:r>
          <w:r w:rsidRPr="000D4A19">
            <w:rPr>
              <w:rFonts w:cstheme="minorHAnsi"/>
              <w:sz w:val="24"/>
              <w:szCs w:val="24"/>
              <w:lang w:val="en-GB"/>
            </w:rPr>
            <w:t>), it still considered this to fall within the scope of guiding principle 6</w:t>
          </w:r>
          <w:r w:rsidR="00ED4568" w:rsidRPr="000D4A19">
            <w:rPr>
              <w:rFonts w:cstheme="minorHAnsi"/>
              <w:sz w:val="24"/>
              <w:szCs w:val="24"/>
              <w:lang w:val="en-GB"/>
            </w:rPr>
            <w:t>.</w:t>
          </w:r>
          <w:r w:rsidR="00ED4568" w:rsidRPr="000D4A19">
            <w:rPr>
              <w:rStyle w:val="Referencafusnote"/>
              <w:rFonts w:cstheme="minorHAnsi"/>
              <w:sz w:val="24"/>
              <w:szCs w:val="24"/>
              <w:lang w:val="en-GB"/>
            </w:rPr>
            <w:footnoteReference w:id="48"/>
          </w:r>
          <w:r w:rsidRPr="000D4A19">
            <w:rPr>
              <w:rFonts w:cstheme="minorHAnsi"/>
              <w:sz w:val="24"/>
              <w:szCs w:val="24"/>
              <w:lang w:val="en-GB"/>
            </w:rPr>
            <w:t xml:space="preserve"> At that</w:t>
          </w:r>
          <w:r w:rsidR="00236441" w:rsidRPr="000D4A19">
            <w:rPr>
              <w:rFonts w:cstheme="minorHAnsi"/>
              <w:sz w:val="24"/>
              <w:szCs w:val="24"/>
              <w:lang w:val="en-GB"/>
            </w:rPr>
            <w:t xml:space="preserve"> point in</w:t>
          </w:r>
          <w:r w:rsidRPr="000D4A19">
            <w:rPr>
              <w:rFonts w:cstheme="minorHAnsi"/>
              <w:sz w:val="24"/>
              <w:szCs w:val="24"/>
              <w:lang w:val="en-GB"/>
            </w:rPr>
            <w:t xml:space="preserve"> time it recommended the adoption of clear and transparent rules for the lifting of immunity, especially with regard </w:t>
          </w:r>
          <w:r w:rsidR="007E2009" w:rsidRPr="000D4A19">
            <w:rPr>
              <w:rFonts w:cstheme="minorHAnsi"/>
              <w:sz w:val="24"/>
              <w:szCs w:val="24"/>
              <w:lang w:val="en-GB"/>
            </w:rPr>
            <w:t>t</w:t>
          </w:r>
          <w:r w:rsidRPr="000D4A19">
            <w:rPr>
              <w:rFonts w:cstheme="minorHAnsi"/>
              <w:sz w:val="24"/>
              <w:szCs w:val="24"/>
              <w:lang w:val="en-GB"/>
            </w:rPr>
            <w:t>o Members of Parliament and the government</w:t>
          </w:r>
          <w:r w:rsidR="008B4109" w:rsidRPr="000D4A19">
            <w:rPr>
              <w:rFonts w:cstheme="minorHAnsi"/>
              <w:sz w:val="24"/>
              <w:szCs w:val="24"/>
              <w:lang w:val="en-GB"/>
            </w:rPr>
            <w:t xml:space="preserve">, and an increase in the sanctions for corruption offences </w:t>
          </w:r>
          <w:r w:rsidR="008B4109" w:rsidRPr="000D4A19">
            <w:rPr>
              <w:rFonts w:cstheme="minorHAnsi"/>
              <w:i/>
              <w:sz w:val="24"/>
              <w:szCs w:val="24"/>
              <w:lang w:val="en-GB"/>
            </w:rPr>
            <w:t xml:space="preserve">inter alia </w:t>
          </w:r>
          <w:r w:rsidR="008B4109" w:rsidRPr="000D4A19">
            <w:rPr>
              <w:rFonts w:cstheme="minorHAnsi"/>
              <w:sz w:val="24"/>
              <w:szCs w:val="24"/>
              <w:lang w:val="en-GB"/>
            </w:rPr>
            <w:t>so that a beneficiary of immunity could be detained without prior approval of the competent body</w:t>
          </w:r>
          <w:r w:rsidRPr="000D4A19">
            <w:rPr>
              <w:rFonts w:cstheme="minorHAnsi"/>
              <w:sz w:val="24"/>
              <w:szCs w:val="24"/>
              <w:lang w:val="en-GB"/>
            </w:rPr>
            <w:t>.</w:t>
          </w:r>
          <w:r w:rsidR="008B4109" w:rsidRPr="000D4A19">
            <w:rPr>
              <w:rFonts w:cstheme="minorHAnsi"/>
              <w:sz w:val="24"/>
              <w:szCs w:val="24"/>
              <w:lang w:val="en-GB"/>
            </w:rPr>
            <w:t xml:space="preserve"> While the latter recommendation</w:t>
          </w:r>
          <w:r w:rsidR="00175494" w:rsidRPr="000D4A19">
            <w:rPr>
              <w:rFonts w:cstheme="minorHAnsi"/>
              <w:sz w:val="24"/>
              <w:szCs w:val="24"/>
              <w:lang w:val="en-GB"/>
            </w:rPr>
            <w:t xml:space="preserve"> was addressed, the first recommendation has never been</w:t>
          </w:r>
          <w:r w:rsidR="008B4109" w:rsidRPr="000D4A19">
            <w:rPr>
              <w:rFonts w:cstheme="minorHAnsi"/>
              <w:sz w:val="24"/>
              <w:szCs w:val="24"/>
              <w:lang w:val="en-GB"/>
            </w:rPr>
            <w:t xml:space="preserve"> fully implemented.</w:t>
          </w:r>
          <w:r w:rsidR="00274EC8" w:rsidRPr="000D4A19">
            <w:rPr>
              <w:rFonts w:cstheme="minorHAnsi"/>
              <w:sz w:val="24"/>
              <w:szCs w:val="24"/>
              <w:lang w:val="en-GB"/>
            </w:rPr>
            <w:t xml:space="preserve"> Coming back to this issue in the Fourth Evaluation Round Report</w:t>
          </w:r>
          <w:r w:rsidR="00EB35D7" w:rsidRPr="000D4A19">
            <w:rPr>
              <w:rFonts w:cstheme="minorHAnsi"/>
              <w:sz w:val="24"/>
              <w:szCs w:val="24"/>
              <w:lang w:val="en-GB"/>
            </w:rPr>
            <w:t xml:space="preserve"> on Croatia</w:t>
          </w:r>
          <w:r w:rsidR="00EB35D7" w:rsidRPr="000D4A19">
            <w:rPr>
              <w:rStyle w:val="Referencafusnote"/>
              <w:rFonts w:cstheme="minorHAnsi"/>
              <w:sz w:val="24"/>
              <w:szCs w:val="24"/>
              <w:lang w:val="en-GB"/>
            </w:rPr>
            <w:footnoteReference w:id="49"/>
          </w:r>
          <w:r w:rsidR="00274EC8" w:rsidRPr="000D4A19">
            <w:rPr>
              <w:rFonts w:cstheme="minorHAnsi"/>
              <w:sz w:val="24"/>
              <w:szCs w:val="24"/>
              <w:lang w:val="en-GB"/>
            </w:rPr>
            <w:t xml:space="preserve"> as regards MPs, GRECO considered the scope of immunity afforded to MPs in Croatia “generally accepta</w:t>
          </w:r>
          <w:r w:rsidR="00BA5B10" w:rsidRPr="000D4A19">
            <w:rPr>
              <w:rFonts w:cstheme="minorHAnsi"/>
              <w:sz w:val="24"/>
              <w:szCs w:val="24"/>
              <w:lang w:val="en-GB"/>
            </w:rPr>
            <w:t>ble” and considered that this –</w:t>
          </w:r>
          <w:r w:rsidR="00274EC8" w:rsidRPr="000D4A19">
            <w:rPr>
              <w:rFonts w:cstheme="minorHAnsi"/>
              <w:sz w:val="24"/>
              <w:szCs w:val="24"/>
              <w:lang w:val="en-GB"/>
            </w:rPr>
            <w:t xml:space="preserve"> according to the data provided </w:t>
          </w:r>
          <w:r w:rsidR="00F708DA" w:rsidRPr="000D4A19">
            <w:rPr>
              <w:rFonts w:cstheme="minorHAnsi"/>
              <w:sz w:val="24"/>
              <w:szCs w:val="24"/>
              <w:lang w:val="en-GB"/>
            </w:rPr>
            <w:t>by the authorities –</w:t>
          </w:r>
          <w:r w:rsidR="00ED4568" w:rsidRPr="000D4A19">
            <w:rPr>
              <w:rFonts w:cstheme="minorHAnsi"/>
              <w:sz w:val="24"/>
              <w:szCs w:val="24"/>
              <w:lang w:val="en-GB"/>
            </w:rPr>
            <w:t xml:space="preserve"> had </w:t>
          </w:r>
          <w:r w:rsidR="00F708DA" w:rsidRPr="000D4A19">
            <w:rPr>
              <w:rFonts w:cstheme="minorHAnsi"/>
              <w:sz w:val="24"/>
              <w:szCs w:val="24"/>
              <w:lang w:val="en-GB"/>
            </w:rPr>
            <w:t xml:space="preserve">not constituted an obstacle to the prosecution and subsequent adjudication of corruption offences. </w:t>
          </w:r>
        </w:p>
        <w:p w14:paraId="7C6C14D5" w14:textId="77777777" w:rsidR="00F963B1" w:rsidRPr="000D4A19" w:rsidRDefault="00F963B1" w:rsidP="00F43323">
          <w:pPr>
            <w:tabs>
              <w:tab w:val="left" w:pos="709"/>
              <w:tab w:val="num" w:pos="8222"/>
            </w:tabs>
            <w:spacing w:after="0" w:line="240" w:lineRule="auto"/>
            <w:jc w:val="both"/>
            <w:rPr>
              <w:rFonts w:cstheme="minorHAnsi"/>
              <w:sz w:val="24"/>
              <w:szCs w:val="24"/>
              <w:lang w:val="en-GB"/>
            </w:rPr>
          </w:pPr>
        </w:p>
        <w:p w14:paraId="263939A8" w14:textId="66DD6877" w:rsidR="005E1624" w:rsidRPr="000D4A19" w:rsidRDefault="00426CCE"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The authorities indicate that the immunity provided to members of the government pursuant to Article 34 of the Law on Government does not mean that a member of the government will not be prosecuted for these offences at the end of his/her term. It furthermore considers this a “minimum protection”</w:t>
          </w:r>
          <w:r w:rsidR="00B82D01" w:rsidRPr="000D4A19">
            <w:rPr>
              <w:rFonts w:cstheme="minorHAnsi"/>
              <w:sz w:val="24"/>
              <w:szCs w:val="24"/>
              <w:lang w:val="en-GB"/>
            </w:rPr>
            <w:t>, enabling</w:t>
          </w:r>
          <w:r w:rsidRPr="000D4A19">
            <w:rPr>
              <w:rFonts w:cstheme="minorHAnsi"/>
              <w:sz w:val="24"/>
              <w:szCs w:val="24"/>
              <w:lang w:val="en-GB"/>
            </w:rPr>
            <w:t xml:space="preserve"> members of the government to perform their work and exercise their powers without interruption or difficulties</w:t>
          </w:r>
          <w:r w:rsidR="003B5013">
            <w:rPr>
              <w:rFonts w:cstheme="minorHAnsi"/>
              <w:sz w:val="24"/>
              <w:szCs w:val="24"/>
              <w:lang w:val="en-GB"/>
            </w:rPr>
            <w:t xml:space="preserve"> (in light of the </w:t>
          </w:r>
          <w:r w:rsidR="00DB1966">
            <w:rPr>
              <w:rFonts w:cstheme="minorHAnsi"/>
              <w:sz w:val="24"/>
              <w:szCs w:val="24"/>
              <w:lang w:val="en-GB"/>
            </w:rPr>
            <w:t>possibility of “private prosecution” in Croatia)</w:t>
          </w:r>
          <w:r w:rsidRPr="000D4A19">
            <w:rPr>
              <w:rFonts w:cstheme="minorHAnsi"/>
              <w:sz w:val="24"/>
              <w:szCs w:val="24"/>
              <w:lang w:val="en-GB"/>
            </w:rPr>
            <w:t xml:space="preserve">. </w:t>
          </w:r>
          <w:r w:rsidR="00E347EF">
            <w:rPr>
              <w:rFonts w:cstheme="minorHAnsi"/>
              <w:sz w:val="24"/>
              <w:szCs w:val="24"/>
              <w:lang w:val="en-GB"/>
            </w:rPr>
            <w:t>According to the authorities, t</w:t>
          </w:r>
          <w:r w:rsidRPr="000D4A19">
            <w:rPr>
              <w:rFonts w:cstheme="minorHAnsi"/>
              <w:sz w:val="24"/>
              <w:szCs w:val="24"/>
              <w:lang w:val="en-GB"/>
            </w:rPr>
            <w:t xml:space="preserve">he immunity provided to members of the government has to date never constituted an obstacle in the prosecution and subsequent adjudication of corruption offences. </w:t>
          </w:r>
        </w:p>
        <w:p w14:paraId="474BBB03" w14:textId="77777777" w:rsidR="005E1624" w:rsidRPr="000D4A19" w:rsidRDefault="005E1624" w:rsidP="00426CCE">
          <w:pPr>
            <w:tabs>
              <w:tab w:val="left" w:pos="709"/>
              <w:tab w:val="num" w:pos="8222"/>
            </w:tabs>
            <w:spacing w:after="0" w:line="240" w:lineRule="auto"/>
            <w:ind w:left="3403"/>
            <w:jc w:val="both"/>
            <w:rPr>
              <w:rFonts w:cstheme="minorHAnsi"/>
              <w:sz w:val="24"/>
              <w:szCs w:val="24"/>
              <w:lang w:val="en-GB"/>
            </w:rPr>
          </w:pPr>
        </w:p>
        <w:p w14:paraId="3B37F310" w14:textId="49DB40F2" w:rsidR="009919AC" w:rsidRPr="000D4A19" w:rsidRDefault="00426CCE"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eastAsia="Times New Roman"/>
              <w:sz w:val="24"/>
              <w:szCs w:val="24"/>
              <w:lang w:val="en-GB"/>
            </w:rPr>
            <w:t xml:space="preserve">Notwithstanding these arguments, the </w:t>
          </w:r>
          <w:r w:rsidR="00BD7AA2" w:rsidRPr="000D4A19">
            <w:rPr>
              <w:rFonts w:eastAsia="Times New Roman"/>
              <w:sz w:val="24"/>
              <w:szCs w:val="24"/>
              <w:lang w:val="en-GB"/>
            </w:rPr>
            <w:t xml:space="preserve">GET </w:t>
          </w:r>
          <w:r w:rsidRPr="000D4A19">
            <w:rPr>
              <w:rFonts w:eastAsia="Times New Roman"/>
              <w:sz w:val="24"/>
              <w:szCs w:val="24"/>
              <w:lang w:val="en-GB"/>
            </w:rPr>
            <w:t xml:space="preserve">has several </w:t>
          </w:r>
          <w:r w:rsidR="00B82D01" w:rsidRPr="000D4A19">
            <w:rPr>
              <w:rFonts w:eastAsia="Times New Roman"/>
              <w:sz w:val="24"/>
              <w:szCs w:val="24"/>
              <w:lang w:val="en-GB"/>
            </w:rPr>
            <w:t xml:space="preserve">concerns </w:t>
          </w:r>
          <w:r w:rsidRPr="000D4A19">
            <w:rPr>
              <w:rFonts w:eastAsia="Times New Roman"/>
              <w:sz w:val="24"/>
              <w:szCs w:val="24"/>
              <w:lang w:val="en-GB"/>
            </w:rPr>
            <w:t>about the</w:t>
          </w:r>
          <w:r w:rsidR="00B82D01" w:rsidRPr="000D4A19">
            <w:rPr>
              <w:rFonts w:eastAsia="Times New Roman"/>
              <w:sz w:val="24"/>
              <w:szCs w:val="24"/>
              <w:lang w:val="en-GB"/>
            </w:rPr>
            <w:t xml:space="preserve"> current provisions on</w:t>
          </w:r>
          <w:r w:rsidRPr="000D4A19">
            <w:rPr>
              <w:rFonts w:eastAsia="Times New Roman"/>
              <w:sz w:val="24"/>
              <w:szCs w:val="24"/>
              <w:lang w:val="en-GB"/>
            </w:rPr>
            <w:t xml:space="preserve"> immunity </w:t>
          </w:r>
          <w:r w:rsidR="00B82D01" w:rsidRPr="000D4A19">
            <w:rPr>
              <w:rFonts w:eastAsia="Times New Roman"/>
              <w:sz w:val="24"/>
              <w:szCs w:val="24"/>
              <w:lang w:val="en-GB"/>
            </w:rPr>
            <w:t xml:space="preserve">for </w:t>
          </w:r>
          <w:r w:rsidRPr="000D4A19">
            <w:rPr>
              <w:rFonts w:eastAsia="Times New Roman"/>
              <w:sz w:val="24"/>
              <w:szCs w:val="24"/>
              <w:lang w:val="en-GB"/>
            </w:rPr>
            <w:t xml:space="preserve">members of the government. First of all, it </w:t>
          </w:r>
          <w:r w:rsidR="00BD7AA2" w:rsidRPr="000D4A19">
            <w:rPr>
              <w:rFonts w:eastAsia="Times New Roman"/>
              <w:sz w:val="24"/>
              <w:szCs w:val="24"/>
              <w:lang w:val="en-GB"/>
            </w:rPr>
            <w:t xml:space="preserve">notes that some corruption offences (for example, in case of legal acts or omissions) </w:t>
          </w:r>
          <w:r w:rsidR="00AC3D76" w:rsidRPr="000D4A19">
            <w:rPr>
              <w:rFonts w:eastAsia="Times New Roman"/>
              <w:sz w:val="24"/>
              <w:szCs w:val="24"/>
              <w:lang w:val="en-GB"/>
            </w:rPr>
            <w:t xml:space="preserve">have a maximum sanction of five years or less with a corresponding limitation period, which would mean that even if the prosecution would be suspended a member of the government could likely only be </w:t>
          </w:r>
          <w:r w:rsidRPr="000D4A19">
            <w:rPr>
              <w:rFonts w:eastAsia="Times New Roman"/>
              <w:sz w:val="24"/>
              <w:szCs w:val="24"/>
              <w:lang w:val="en-GB"/>
            </w:rPr>
            <w:t xml:space="preserve">successfully </w:t>
          </w:r>
          <w:r w:rsidR="00AC3D76" w:rsidRPr="000D4A19">
            <w:rPr>
              <w:rFonts w:eastAsia="Times New Roman"/>
              <w:sz w:val="24"/>
              <w:szCs w:val="24"/>
              <w:lang w:val="en-GB"/>
            </w:rPr>
            <w:t>prosecuted</w:t>
          </w:r>
          <w:r w:rsidRPr="000D4A19">
            <w:rPr>
              <w:rFonts w:eastAsia="Times New Roman"/>
              <w:sz w:val="24"/>
              <w:szCs w:val="24"/>
              <w:lang w:val="en-GB"/>
            </w:rPr>
            <w:t xml:space="preserve"> for certain corruption offences</w:t>
          </w:r>
          <w:r w:rsidR="00AC3D76" w:rsidRPr="000D4A19">
            <w:rPr>
              <w:rFonts w:eastAsia="Times New Roman"/>
              <w:sz w:val="24"/>
              <w:szCs w:val="24"/>
              <w:lang w:val="en-GB"/>
            </w:rPr>
            <w:t xml:space="preserve"> if at the same time the limitation period </w:t>
          </w:r>
          <w:r w:rsidRPr="000D4A19">
            <w:rPr>
              <w:rFonts w:eastAsia="Times New Roman"/>
              <w:sz w:val="24"/>
              <w:szCs w:val="24"/>
              <w:lang w:val="en-GB"/>
            </w:rPr>
            <w:t xml:space="preserve">has </w:t>
          </w:r>
          <w:r w:rsidR="00AC3D76" w:rsidRPr="000D4A19">
            <w:rPr>
              <w:rFonts w:eastAsia="Times New Roman"/>
              <w:sz w:val="24"/>
              <w:szCs w:val="24"/>
              <w:lang w:val="en-GB"/>
            </w:rPr>
            <w:t>also</w:t>
          </w:r>
          <w:r w:rsidRPr="000D4A19">
            <w:rPr>
              <w:rFonts w:eastAsia="Times New Roman"/>
              <w:sz w:val="24"/>
              <w:szCs w:val="24"/>
              <w:lang w:val="en-GB"/>
            </w:rPr>
            <w:t xml:space="preserve"> been</w:t>
          </w:r>
          <w:r w:rsidR="00AC3D76" w:rsidRPr="000D4A19">
            <w:rPr>
              <w:rFonts w:eastAsia="Times New Roman"/>
              <w:sz w:val="24"/>
              <w:szCs w:val="24"/>
              <w:lang w:val="en-GB"/>
            </w:rPr>
            <w:t xml:space="preserve"> suspended. Secondly,</w:t>
          </w:r>
          <w:r w:rsidR="00BD7AA2" w:rsidRPr="000D4A19">
            <w:rPr>
              <w:rFonts w:eastAsia="Times New Roman"/>
              <w:sz w:val="24"/>
              <w:szCs w:val="24"/>
              <w:lang w:val="en-GB"/>
            </w:rPr>
            <w:t xml:space="preserve"> </w:t>
          </w:r>
          <w:r w:rsidR="00AC3D76" w:rsidRPr="000D4A19">
            <w:rPr>
              <w:rFonts w:eastAsia="Times New Roman"/>
              <w:sz w:val="24"/>
              <w:szCs w:val="24"/>
              <w:lang w:val="en-GB"/>
            </w:rPr>
            <w:t>the GET consider</w:t>
          </w:r>
          <w:r w:rsidRPr="000D4A19">
            <w:rPr>
              <w:rFonts w:eastAsia="Times New Roman"/>
              <w:sz w:val="24"/>
              <w:szCs w:val="24"/>
              <w:lang w:val="en-GB"/>
            </w:rPr>
            <w:t>s</w:t>
          </w:r>
          <w:r w:rsidR="00AC3D76" w:rsidRPr="000D4A19">
            <w:rPr>
              <w:rFonts w:eastAsia="Times New Roman"/>
              <w:sz w:val="24"/>
              <w:szCs w:val="24"/>
              <w:lang w:val="en-GB"/>
            </w:rPr>
            <w:t xml:space="preserve"> that</w:t>
          </w:r>
          <w:r w:rsidR="00997C18">
            <w:rPr>
              <w:rFonts w:eastAsia="Times New Roman"/>
              <w:sz w:val="24"/>
              <w:szCs w:val="24"/>
              <w:lang w:val="en-GB"/>
            </w:rPr>
            <w:t xml:space="preserve"> -</w:t>
          </w:r>
          <w:r w:rsidR="00BD7AA2" w:rsidRPr="000D4A19">
            <w:rPr>
              <w:rFonts w:eastAsia="Times New Roman"/>
              <w:sz w:val="24"/>
              <w:szCs w:val="24"/>
              <w:lang w:val="en-GB"/>
            </w:rPr>
            <w:t xml:space="preserve"> </w:t>
          </w:r>
          <w:r w:rsidRPr="000D4A19">
            <w:rPr>
              <w:rFonts w:eastAsia="Times New Roman"/>
              <w:sz w:val="24"/>
              <w:szCs w:val="24"/>
              <w:lang w:val="en-GB"/>
            </w:rPr>
            <w:t>g</w:t>
          </w:r>
          <w:r w:rsidR="00ED4568" w:rsidRPr="000D4A19">
            <w:rPr>
              <w:rFonts w:cstheme="minorHAnsi"/>
              <w:sz w:val="24"/>
              <w:szCs w:val="24"/>
              <w:lang w:val="en-GB"/>
            </w:rPr>
            <w:t>iven that the government is the one to give approval for the prosecution of one of its own membe</w:t>
          </w:r>
          <w:r w:rsidR="0060424B" w:rsidRPr="000D4A19">
            <w:rPr>
              <w:rFonts w:cstheme="minorHAnsi"/>
              <w:sz w:val="24"/>
              <w:szCs w:val="24"/>
              <w:lang w:val="en-GB"/>
            </w:rPr>
            <w:t>rs</w:t>
          </w:r>
          <w:r w:rsidR="00997C18">
            <w:rPr>
              <w:rFonts w:cstheme="minorHAnsi"/>
              <w:sz w:val="24"/>
              <w:szCs w:val="24"/>
              <w:lang w:val="en-GB"/>
            </w:rPr>
            <w:t xml:space="preserve"> -</w:t>
          </w:r>
          <w:r w:rsidR="0060424B" w:rsidRPr="000D4A19">
            <w:rPr>
              <w:rFonts w:cstheme="minorHAnsi"/>
              <w:sz w:val="24"/>
              <w:szCs w:val="24"/>
              <w:lang w:val="en-GB"/>
            </w:rPr>
            <w:t xml:space="preserve"> </w:t>
          </w:r>
          <w:r w:rsidRPr="000D4A19">
            <w:rPr>
              <w:rFonts w:cstheme="minorHAnsi"/>
              <w:sz w:val="24"/>
              <w:szCs w:val="24"/>
              <w:lang w:val="en-GB"/>
            </w:rPr>
            <w:t xml:space="preserve">impartiality of the procedure is not guaranteed. Thirdly, </w:t>
          </w:r>
          <w:r w:rsidR="00520BD3" w:rsidRPr="000D4A19">
            <w:rPr>
              <w:rFonts w:cstheme="minorHAnsi"/>
              <w:sz w:val="24"/>
              <w:szCs w:val="24"/>
              <w:lang w:val="en-GB"/>
            </w:rPr>
            <w:t>unlike for MPs, the President and ju</w:t>
          </w:r>
          <w:r w:rsidR="00ED4568" w:rsidRPr="000D4A19">
            <w:rPr>
              <w:rFonts w:cstheme="minorHAnsi"/>
              <w:sz w:val="24"/>
              <w:szCs w:val="24"/>
              <w:lang w:val="en-GB"/>
            </w:rPr>
            <w:t>d</w:t>
          </w:r>
          <w:r w:rsidR="00520BD3" w:rsidRPr="000D4A19">
            <w:rPr>
              <w:rFonts w:cstheme="minorHAnsi"/>
              <w:sz w:val="24"/>
              <w:szCs w:val="24"/>
              <w:lang w:val="en-GB"/>
            </w:rPr>
            <w:t>ges, the immunity of members of the government is not vested in the Constitution but regulated by law</w:t>
          </w:r>
          <w:r w:rsidR="00ED4568" w:rsidRPr="000D4A19">
            <w:rPr>
              <w:rFonts w:cstheme="minorHAnsi"/>
              <w:sz w:val="24"/>
              <w:szCs w:val="24"/>
              <w:lang w:val="en-GB"/>
            </w:rPr>
            <w:t xml:space="preserve"> and no provisions are made for members of the government caught </w:t>
          </w:r>
          <w:r w:rsidR="00ED4568" w:rsidRPr="000D4A19">
            <w:rPr>
              <w:rFonts w:cstheme="minorHAnsi"/>
              <w:i/>
              <w:sz w:val="24"/>
              <w:szCs w:val="24"/>
              <w:lang w:val="en-GB"/>
            </w:rPr>
            <w:t>in flagrante delicto</w:t>
          </w:r>
          <w:r w:rsidR="00520BD3" w:rsidRPr="000D4A19">
            <w:rPr>
              <w:rFonts w:cstheme="minorHAnsi"/>
              <w:sz w:val="24"/>
              <w:szCs w:val="24"/>
              <w:lang w:val="en-GB"/>
            </w:rPr>
            <w:t>.</w:t>
          </w:r>
          <w:r w:rsidR="00D63CB8" w:rsidRPr="000D4A19">
            <w:rPr>
              <w:rStyle w:val="Referencafusnote"/>
              <w:rFonts w:cstheme="minorHAnsi"/>
              <w:sz w:val="24"/>
              <w:szCs w:val="24"/>
              <w:lang w:val="en-GB"/>
            </w:rPr>
            <w:footnoteReference w:id="50"/>
          </w:r>
          <w:r w:rsidR="00520BD3" w:rsidRPr="000D4A19">
            <w:rPr>
              <w:rFonts w:cstheme="minorHAnsi"/>
              <w:sz w:val="24"/>
              <w:szCs w:val="24"/>
              <w:lang w:val="en-GB"/>
            </w:rPr>
            <w:t xml:space="preserve"> </w:t>
          </w:r>
          <w:r w:rsidR="00ED4568" w:rsidRPr="000D4A19">
            <w:rPr>
              <w:rFonts w:cstheme="minorHAnsi"/>
              <w:sz w:val="24"/>
              <w:szCs w:val="24"/>
              <w:lang w:val="en-GB"/>
            </w:rPr>
            <w:t xml:space="preserve">In short, the GET </w:t>
          </w:r>
          <w:r w:rsidRPr="000D4A19">
            <w:rPr>
              <w:rFonts w:cstheme="minorHAnsi"/>
              <w:sz w:val="24"/>
              <w:szCs w:val="24"/>
              <w:lang w:val="en-GB"/>
            </w:rPr>
            <w:t>cannot see any reason for providing the government with the authority to give approval for the prosecution of one of its members for a criminal offence for which up to five years’ imprisonment is foreseen. It c</w:t>
          </w:r>
          <w:r w:rsidR="00ED4568" w:rsidRPr="000D4A19">
            <w:rPr>
              <w:rFonts w:cstheme="minorHAnsi"/>
              <w:sz w:val="24"/>
              <w:szCs w:val="24"/>
              <w:lang w:val="en-GB"/>
            </w:rPr>
            <w:t>onsider</w:t>
          </w:r>
          <w:r w:rsidR="00F963B1" w:rsidRPr="000D4A19">
            <w:rPr>
              <w:rFonts w:cstheme="minorHAnsi"/>
              <w:sz w:val="24"/>
              <w:szCs w:val="24"/>
              <w:lang w:val="en-GB"/>
            </w:rPr>
            <w:t>s</w:t>
          </w:r>
          <w:r w:rsidR="00ED4568" w:rsidRPr="000D4A19">
            <w:rPr>
              <w:rFonts w:cstheme="minorHAnsi"/>
              <w:sz w:val="24"/>
              <w:szCs w:val="24"/>
              <w:lang w:val="en-GB"/>
            </w:rPr>
            <w:t xml:space="preserve"> the immunity provided to members of the government neither necessary nor fall</w:t>
          </w:r>
          <w:r w:rsidR="007E2009" w:rsidRPr="000D4A19">
            <w:rPr>
              <w:rFonts w:cstheme="minorHAnsi"/>
              <w:sz w:val="24"/>
              <w:szCs w:val="24"/>
              <w:lang w:val="en-GB"/>
            </w:rPr>
            <w:t>ing</w:t>
          </w:r>
          <w:r w:rsidR="00ED4568" w:rsidRPr="000D4A19">
            <w:rPr>
              <w:rFonts w:cstheme="minorHAnsi"/>
              <w:sz w:val="24"/>
              <w:szCs w:val="24"/>
              <w:lang w:val="en-GB"/>
            </w:rPr>
            <w:t xml:space="preserve"> within the remit of Guiding Principle 6. In view of this, </w:t>
          </w:r>
          <w:r w:rsidR="00ED4568" w:rsidRPr="000D4A19">
            <w:rPr>
              <w:rFonts w:cstheme="minorHAnsi"/>
              <w:b/>
              <w:sz w:val="24"/>
              <w:szCs w:val="24"/>
              <w:lang w:val="en-GB"/>
            </w:rPr>
            <w:t xml:space="preserve">GRECO recommends </w:t>
          </w:r>
          <w:bookmarkStart w:id="121" w:name="_Hlk26535820"/>
          <w:bookmarkStart w:id="122" w:name="_Hlk22745681"/>
          <w:r w:rsidR="00ED4568" w:rsidRPr="000D4A19">
            <w:rPr>
              <w:rFonts w:cstheme="minorHAnsi"/>
              <w:b/>
              <w:sz w:val="24"/>
              <w:szCs w:val="24"/>
              <w:lang w:val="en-GB"/>
            </w:rPr>
            <w:t>t</w:t>
          </w:r>
          <w:r w:rsidR="00516B13" w:rsidRPr="000D4A19">
            <w:rPr>
              <w:rFonts w:cstheme="minorHAnsi"/>
              <w:b/>
              <w:sz w:val="24"/>
              <w:szCs w:val="24"/>
              <w:lang w:val="en-GB"/>
            </w:rPr>
            <w:t xml:space="preserve">hat </w:t>
          </w:r>
          <w:r w:rsidR="00D81E08" w:rsidRPr="000D4A19">
            <w:rPr>
              <w:rFonts w:cstheme="minorHAnsi"/>
              <w:b/>
              <w:sz w:val="24"/>
              <w:szCs w:val="24"/>
              <w:lang w:val="en-GB"/>
            </w:rPr>
            <w:t xml:space="preserve">the Law on Government </w:t>
          </w:r>
          <w:r w:rsidR="00516B13" w:rsidRPr="000D4A19">
            <w:rPr>
              <w:rFonts w:cstheme="minorHAnsi"/>
              <w:b/>
              <w:sz w:val="24"/>
              <w:szCs w:val="24"/>
              <w:lang w:val="en-GB"/>
            </w:rPr>
            <w:t xml:space="preserve">be amended </w:t>
          </w:r>
          <w:r w:rsidR="00D81E08" w:rsidRPr="000D4A19">
            <w:rPr>
              <w:rFonts w:cstheme="minorHAnsi"/>
              <w:b/>
              <w:sz w:val="24"/>
              <w:szCs w:val="24"/>
              <w:lang w:val="en-GB"/>
            </w:rPr>
            <w:t xml:space="preserve">to </w:t>
          </w:r>
          <w:r w:rsidR="00DB1966">
            <w:rPr>
              <w:rFonts w:cstheme="minorHAnsi"/>
              <w:b/>
              <w:sz w:val="24"/>
              <w:szCs w:val="24"/>
              <w:lang w:val="en-GB"/>
            </w:rPr>
            <w:t xml:space="preserve">limit </w:t>
          </w:r>
          <w:r w:rsidR="00D81E08" w:rsidRPr="000D4A19">
            <w:rPr>
              <w:rFonts w:cstheme="minorHAnsi"/>
              <w:b/>
              <w:sz w:val="24"/>
              <w:szCs w:val="24"/>
              <w:lang w:val="en-GB"/>
            </w:rPr>
            <w:t>the procedural immunity provided to members of the government</w:t>
          </w:r>
          <w:r w:rsidR="00DB1966">
            <w:rPr>
              <w:rFonts w:cstheme="minorHAnsi"/>
              <w:b/>
              <w:sz w:val="24"/>
              <w:szCs w:val="24"/>
              <w:lang w:val="en-GB"/>
            </w:rPr>
            <w:t>, by excluding corruption-related offences which are subject to public prosecution</w:t>
          </w:r>
          <w:bookmarkEnd w:id="121"/>
          <w:r w:rsidR="00D81E08" w:rsidRPr="000D4A19">
            <w:rPr>
              <w:rFonts w:cstheme="minorHAnsi"/>
              <w:b/>
              <w:sz w:val="24"/>
              <w:szCs w:val="24"/>
              <w:lang w:val="en-GB"/>
            </w:rPr>
            <w:t xml:space="preserve">. </w:t>
          </w:r>
        </w:p>
        <w:bookmarkEnd w:id="122"/>
        <w:p w14:paraId="23C57C14" w14:textId="77777777" w:rsidR="00ED4568" w:rsidRPr="000D4A19" w:rsidRDefault="00ED4568" w:rsidP="00ED4568">
          <w:pPr>
            <w:tabs>
              <w:tab w:val="left" w:pos="709"/>
              <w:tab w:val="num" w:pos="8222"/>
            </w:tabs>
            <w:spacing w:after="0" w:line="240" w:lineRule="auto"/>
            <w:jc w:val="both"/>
            <w:rPr>
              <w:rFonts w:cstheme="minorHAnsi"/>
              <w:sz w:val="24"/>
              <w:szCs w:val="24"/>
              <w:lang w:val="en-GB"/>
            </w:rPr>
          </w:pPr>
        </w:p>
        <w:p w14:paraId="668BD866" w14:textId="6298356D" w:rsidR="00F06D73" w:rsidRPr="000D4A19" w:rsidRDefault="00F06D73" w:rsidP="00F06D73">
          <w:pPr>
            <w:pStyle w:val="Naslov3"/>
            <w:keepNext w:val="0"/>
            <w:keepLines w:val="0"/>
            <w:tabs>
              <w:tab w:val="left" w:pos="709"/>
            </w:tabs>
            <w:spacing w:before="0" w:line="240" w:lineRule="auto"/>
            <w:jc w:val="both"/>
            <w:rPr>
              <w:rFonts w:asciiTheme="minorHAnsi" w:hAnsiTheme="minorHAnsi" w:cstheme="minorHAnsi"/>
              <w:b w:val="0"/>
              <w:i/>
              <w:color w:val="auto"/>
              <w:sz w:val="24"/>
              <w:szCs w:val="24"/>
              <w:u w:val="single"/>
              <w:lang w:val="en-GB"/>
            </w:rPr>
          </w:pPr>
          <w:bookmarkStart w:id="123" w:name="_Toc25229316"/>
          <w:r w:rsidRPr="000D4A19">
            <w:rPr>
              <w:rFonts w:asciiTheme="minorHAnsi" w:hAnsiTheme="minorHAnsi" w:cstheme="minorHAnsi"/>
              <w:b w:val="0"/>
              <w:i/>
              <w:color w:val="auto"/>
              <w:sz w:val="24"/>
              <w:szCs w:val="24"/>
              <w:lang w:val="en-GB"/>
            </w:rPr>
            <w:t>Statistics</w:t>
          </w:r>
          <w:bookmarkEnd w:id="123"/>
        </w:p>
        <w:p w14:paraId="56AAE5B4" w14:textId="77777777" w:rsidR="00F06D73" w:rsidRPr="000D4A19" w:rsidRDefault="00F06D73" w:rsidP="00ED4568">
          <w:pPr>
            <w:tabs>
              <w:tab w:val="left" w:pos="709"/>
              <w:tab w:val="num" w:pos="8222"/>
            </w:tabs>
            <w:spacing w:after="0" w:line="240" w:lineRule="auto"/>
            <w:jc w:val="both"/>
            <w:rPr>
              <w:rFonts w:cstheme="minorHAnsi"/>
              <w:sz w:val="24"/>
              <w:szCs w:val="24"/>
              <w:lang w:val="en-GB"/>
            </w:rPr>
          </w:pPr>
        </w:p>
        <w:p w14:paraId="6C74853A" w14:textId="08286783" w:rsidR="009919AC" w:rsidRPr="000D4A19" w:rsidRDefault="009919AC" w:rsidP="00715CBC">
          <w:pPr>
            <w:numPr>
              <w:ilvl w:val="0"/>
              <w:numId w:val="1"/>
            </w:numPr>
            <w:tabs>
              <w:tab w:val="left" w:pos="709"/>
              <w:tab w:val="num" w:pos="851"/>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Data from the Office for the Suppression of Corruption and Organised Crime (USKOK) provides the following insights into instances of corruption and related misconduct by PTEFs in the last five years:</w:t>
          </w:r>
        </w:p>
        <w:p w14:paraId="4D27F443" w14:textId="77777777" w:rsidR="009919AC" w:rsidRPr="000D4A19" w:rsidRDefault="009919AC" w:rsidP="004B7CAB">
          <w:pPr>
            <w:pStyle w:val="Odlomakpopisa"/>
            <w:spacing w:after="0" w:line="240" w:lineRule="auto"/>
            <w:rPr>
              <w:rFonts w:cstheme="minorHAnsi"/>
              <w:sz w:val="24"/>
              <w:szCs w:val="24"/>
              <w:lang w:val="en-GB"/>
            </w:rPr>
          </w:pPr>
        </w:p>
        <w:tbl>
          <w:tblPr>
            <w:tblStyle w:val="Reetkatablice"/>
            <w:tblW w:w="10065" w:type="dxa"/>
            <w:tblInd w:w="-431" w:type="dxa"/>
            <w:tblLayout w:type="fixed"/>
            <w:tblLook w:val="04A0" w:firstRow="1" w:lastRow="0" w:firstColumn="1" w:lastColumn="0" w:noHBand="0" w:noVBand="1"/>
          </w:tblPr>
          <w:tblGrid>
            <w:gridCol w:w="710"/>
            <w:gridCol w:w="2410"/>
            <w:gridCol w:w="2693"/>
            <w:gridCol w:w="4252"/>
          </w:tblGrid>
          <w:tr w:rsidR="009919AC" w:rsidRPr="000D4A19" w14:paraId="1BF5782E" w14:textId="77777777" w:rsidTr="002B24B1">
            <w:tc>
              <w:tcPr>
                <w:tcW w:w="710" w:type="dxa"/>
                <w:shd w:val="pct15" w:color="auto" w:fill="auto"/>
              </w:tcPr>
              <w:p w14:paraId="10D2814A" w14:textId="77777777" w:rsidR="009919AC" w:rsidRPr="000D4A19" w:rsidRDefault="009919AC" w:rsidP="004B7CAB">
                <w:pPr>
                  <w:pStyle w:val="Odlomakpopisa"/>
                  <w:ind w:left="0"/>
                  <w:rPr>
                    <w:rFonts w:cstheme="minorHAnsi"/>
                    <w:sz w:val="18"/>
                    <w:szCs w:val="18"/>
                    <w:lang w:val="en-GB"/>
                  </w:rPr>
                </w:pPr>
              </w:p>
            </w:tc>
            <w:tc>
              <w:tcPr>
                <w:tcW w:w="2410" w:type="dxa"/>
                <w:shd w:val="pct15" w:color="auto" w:fill="auto"/>
              </w:tcPr>
              <w:p w14:paraId="76B6AA47" w14:textId="77777777" w:rsidR="009919AC" w:rsidRPr="000D4A19" w:rsidRDefault="009919AC" w:rsidP="004B7CAB">
                <w:pPr>
                  <w:pStyle w:val="Odlomakpopisa"/>
                  <w:ind w:left="0"/>
                  <w:jc w:val="center"/>
                  <w:rPr>
                    <w:rFonts w:cstheme="minorHAnsi"/>
                    <w:b/>
                    <w:sz w:val="18"/>
                    <w:szCs w:val="18"/>
                    <w:lang w:val="en-GB"/>
                  </w:rPr>
                </w:pPr>
                <w:r w:rsidRPr="000D4A19">
                  <w:rPr>
                    <w:rFonts w:cstheme="minorHAnsi"/>
                    <w:b/>
                    <w:sz w:val="18"/>
                    <w:szCs w:val="18"/>
                    <w:lang w:val="en-GB"/>
                  </w:rPr>
                  <w:t>Investigations</w:t>
                </w:r>
              </w:p>
            </w:tc>
            <w:tc>
              <w:tcPr>
                <w:tcW w:w="2693" w:type="dxa"/>
                <w:shd w:val="pct15" w:color="auto" w:fill="auto"/>
              </w:tcPr>
              <w:p w14:paraId="58AF610D" w14:textId="77777777" w:rsidR="009919AC" w:rsidRPr="000D4A19" w:rsidRDefault="009919AC" w:rsidP="004B7CAB">
                <w:pPr>
                  <w:pStyle w:val="Odlomakpopisa"/>
                  <w:ind w:left="0"/>
                  <w:jc w:val="center"/>
                  <w:rPr>
                    <w:rFonts w:cstheme="minorHAnsi"/>
                    <w:b/>
                    <w:sz w:val="18"/>
                    <w:szCs w:val="18"/>
                    <w:lang w:val="en-GB"/>
                  </w:rPr>
                </w:pPr>
                <w:r w:rsidRPr="000D4A19">
                  <w:rPr>
                    <w:rFonts w:cstheme="minorHAnsi"/>
                    <w:b/>
                    <w:sz w:val="18"/>
                    <w:szCs w:val="18"/>
                    <w:lang w:val="en-GB"/>
                  </w:rPr>
                  <w:t xml:space="preserve">Indictments </w:t>
                </w:r>
              </w:p>
            </w:tc>
            <w:tc>
              <w:tcPr>
                <w:tcW w:w="4252" w:type="dxa"/>
                <w:shd w:val="pct15" w:color="auto" w:fill="auto"/>
              </w:tcPr>
              <w:p w14:paraId="5B2B01EB" w14:textId="77777777" w:rsidR="009919AC" w:rsidRPr="000D4A19" w:rsidRDefault="009919AC" w:rsidP="004B7CAB">
                <w:pPr>
                  <w:pStyle w:val="Odlomakpopisa"/>
                  <w:ind w:left="0"/>
                  <w:jc w:val="center"/>
                  <w:rPr>
                    <w:rFonts w:cstheme="minorHAnsi"/>
                    <w:b/>
                    <w:sz w:val="18"/>
                    <w:szCs w:val="18"/>
                    <w:lang w:val="en-GB"/>
                  </w:rPr>
                </w:pPr>
                <w:r w:rsidRPr="000D4A19">
                  <w:rPr>
                    <w:rFonts w:cstheme="minorHAnsi"/>
                    <w:b/>
                    <w:sz w:val="18"/>
                    <w:szCs w:val="18"/>
                    <w:lang w:val="en-GB"/>
                  </w:rPr>
                  <w:t xml:space="preserve">Judgments </w:t>
                </w:r>
              </w:p>
            </w:tc>
          </w:tr>
          <w:tr w:rsidR="009919AC" w:rsidRPr="00D245DB" w14:paraId="3857678E" w14:textId="77777777" w:rsidTr="002B24B1">
            <w:tc>
              <w:tcPr>
                <w:tcW w:w="710" w:type="dxa"/>
                <w:shd w:val="pct15" w:color="auto" w:fill="auto"/>
              </w:tcPr>
              <w:p w14:paraId="33102E17" w14:textId="77777777" w:rsidR="009919AC" w:rsidRPr="000D4A19" w:rsidRDefault="009919AC" w:rsidP="004B7CAB">
                <w:pPr>
                  <w:pStyle w:val="Odlomakpopisa"/>
                  <w:ind w:left="0"/>
                  <w:rPr>
                    <w:rFonts w:cstheme="minorHAnsi"/>
                    <w:b/>
                    <w:sz w:val="18"/>
                    <w:szCs w:val="18"/>
                    <w:lang w:val="en-GB"/>
                  </w:rPr>
                </w:pPr>
                <w:r w:rsidRPr="000D4A19">
                  <w:rPr>
                    <w:rFonts w:cstheme="minorHAnsi"/>
                    <w:b/>
                    <w:sz w:val="18"/>
                    <w:szCs w:val="18"/>
                    <w:lang w:val="en-GB"/>
                  </w:rPr>
                  <w:t xml:space="preserve">2014 </w:t>
                </w:r>
              </w:p>
            </w:tc>
            <w:tc>
              <w:tcPr>
                <w:tcW w:w="2410" w:type="dxa"/>
              </w:tcPr>
              <w:p w14:paraId="0EC4F6BC" w14:textId="77777777" w:rsidR="009919AC" w:rsidRPr="000D4A19" w:rsidRDefault="009919AC" w:rsidP="004B7CAB">
                <w:pPr>
                  <w:pStyle w:val="Odlomakpopisa"/>
                  <w:ind w:left="0"/>
                  <w:rPr>
                    <w:rFonts w:cstheme="minorHAnsi"/>
                    <w:sz w:val="18"/>
                    <w:szCs w:val="18"/>
                    <w:lang w:val="en-GB"/>
                  </w:rPr>
                </w:pPr>
                <w:r w:rsidRPr="000D4A19">
                  <w:rPr>
                    <w:rFonts w:cstheme="minorHAnsi"/>
                    <w:sz w:val="18"/>
                    <w:szCs w:val="18"/>
                    <w:lang w:val="en-GB"/>
                  </w:rPr>
                  <w:t>2 (</w:t>
                </w:r>
                <w:r w:rsidRPr="000D4A19">
                  <w:rPr>
                    <w:rFonts w:cstheme="minorHAnsi"/>
                    <w:i/>
                    <w:sz w:val="18"/>
                    <w:szCs w:val="18"/>
                    <w:lang w:val="en-GB"/>
                  </w:rPr>
                  <w:t>1 minister for abuse of position, Art. 291 CC; 1 assistant minister for trading in influence, Art. 295 CC)</w:t>
                </w:r>
                <w:r w:rsidRPr="000D4A19">
                  <w:rPr>
                    <w:rFonts w:cstheme="minorHAnsi"/>
                    <w:sz w:val="18"/>
                    <w:szCs w:val="18"/>
                    <w:lang w:val="en-GB"/>
                  </w:rPr>
                  <w:t xml:space="preserve"> </w:t>
                </w:r>
              </w:p>
            </w:tc>
            <w:tc>
              <w:tcPr>
                <w:tcW w:w="2693" w:type="dxa"/>
              </w:tcPr>
              <w:p w14:paraId="353A3DA0" w14:textId="77777777" w:rsidR="009919AC" w:rsidRPr="000D4A19" w:rsidRDefault="009919AC" w:rsidP="004B7CAB">
                <w:pPr>
                  <w:pStyle w:val="Odlomakpopisa"/>
                  <w:ind w:left="0"/>
                  <w:rPr>
                    <w:rFonts w:cstheme="minorHAnsi"/>
                    <w:sz w:val="18"/>
                    <w:szCs w:val="18"/>
                    <w:lang w:val="en-GB"/>
                  </w:rPr>
                </w:pPr>
                <w:r w:rsidRPr="000D4A19">
                  <w:rPr>
                    <w:rFonts w:cstheme="minorHAnsi"/>
                    <w:sz w:val="18"/>
                    <w:szCs w:val="18"/>
                    <w:lang w:val="en-GB"/>
                  </w:rPr>
                  <w:t xml:space="preserve">1 </w:t>
                </w:r>
                <w:r w:rsidRPr="000D4A19">
                  <w:rPr>
                    <w:rFonts w:cstheme="minorHAnsi"/>
                    <w:i/>
                    <w:sz w:val="18"/>
                    <w:szCs w:val="18"/>
                    <w:lang w:val="en-GB"/>
                  </w:rPr>
                  <w:t>(1 minister for passive bribery, Art. 293 CC)</w:t>
                </w:r>
                <w:r w:rsidRPr="000D4A19">
                  <w:rPr>
                    <w:rFonts w:cstheme="minorHAnsi"/>
                    <w:sz w:val="18"/>
                    <w:szCs w:val="18"/>
                    <w:lang w:val="en-GB"/>
                  </w:rPr>
                  <w:t xml:space="preserve"> </w:t>
                </w:r>
              </w:p>
            </w:tc>
            <w:tc>
              <w:tcPr>
                <w:tcW w:w="4252" w:type="dxa"/>
              </w:tcPr>
              <w:p w14:paraId="165AE6DD" w14:textId="77777777" w:rsidR="009919AC" w:rsidRPr="000D4A19" w:rsidRDefault="009919AC" w:rsidP="004B7CAB">
                <w:pPr>
                  <w:pStyle w:val="Odlomakpopisa"/>
                  <w:ind w:left="0"/>
                  <w:rPr>
                    <w:rFonts w:cstheme="minorHAnsi"/>
                    <w:sz w:val="18"/>
                    <w:szCs w:val="18"/>
                    <w:lang w:val="en-GB"/>
                  </w:rPr>
                </w:pPr>
                <w:r w:rsidRPr="000D4A19">
                  <w:rPr>
                    <w:rFonts w:cstheme="minorHAnsi"/>
                    <w:sz w:val="18"/>
                    <w:szCs w:val="18"/>
                    <w:lang w:val="en-GB"/>
                  </w:rPr>
                  <w:t xml:space="preserve">4 </w:t>
                </w:r>
                <w:r w:rsidRPr="000D4A19">
                  <w:rPr>
                    <w:rFonts w:cstheme="minorHAnsi"/>
                    <w:i/>
                    <w:sz w:val="18"/>
                    <w:szCs w:val="18"/>
                    <w:lang w:val="en-GB"/>
                  </w:rPr>
                  <w:t xml:space="preserve">(1 minister - final acquittal of abuse of position, Art. 291 CC; 1 assistant minister - final conviction to 11 months’ imprisonment for abuse of position, Art. 291 CC; 1 assistant minister - charges of abuse of position rejected; 1 prime-minister - non-final conviction to nine years’ imprisonment for abuse of position, Art. 291 CC) </w:t>
                </w:r>
              </w:p>
            </w:tc>
          </w:tr>
          <w:tr w:rsidR="009919AC" w:rsidRPr="000D4A19" w14:paraId="33A7FECE" w14:textId="77777777" w:rsidTr="002B24B1">
            <w:tc>
              <w:tcPr>
                <w:tcW w:w="710" w:type="dxa"/>
                <w:shd w:val="pct15" w:color="auto" w:fill="auto"/>
              </w:tcPr>
              <w:p w14:paraId="0C2C8011" w14:textId="77777777" w:rsidR="009919AC" w:rsidRPr="000D4A19" w:rsidRDefault="009919AC" w:rsidP="004B7CAB">
                <w:pPr>
                  <w:pStyle w:val="Odlomakpopisa"/>
                  <w:ind w:left="0"/>
                  <w:rPr>
                    <w:rFonts w:cstheme="minorHAnsi"/>
                    <w:b/>
                    <w:sz w:val="18"/>
                    <w:szCs w:val="18"/>
                    <w:lang w:val="en-GB"/>
                  </w:rPr>
                </w:pPr>
                <w:r w:rsidRPr="000D4A19">
                  <w:rPr>
                    <w:rFonts w:cstheme="minorHAnsi"/>
                    <w:b/>
                    <w:sz w:val="18"/>
                    <w:szCs w:val="18"/>
                    <w:lang w:val="en-GB"/>
                  </w:rPr>
                  <w:t xml:space="preserve">2015 </w:t>
                </w:r>
              </w:p>
            </w:tc>
            <w:tc>
              <w:tcPr>
                <w:tcW w:w="2410" w:type="dxa"/>
              </w:tcPr>
              <w:p w14:paraId="2239B89C" w14:textId="77777777" w:rsidR="009919AC" w:rsidRPr="000D4A19" w:rsidRDefault="009919AC" w:rsidP="004B7CAB">
                <w:pPr>
                  <w:pStyle w:val="Odlomakpopisa"/>
                  <w:ind w:left="0"/>
                  <w:rPr>
                    <w:rFonts w:cstheme="minorHAnsi"/>
                    <w:sz w:val="18"/>
                    <w:szCs w:val="18"/>
                    <w:lang w:val="en-GB"/>
                  </w:rPr>
                </w:pPr>
                <w:r w:rsidRPr="000D4A19">
                  <w:rPr>
                    <w:rFonts w:cstheme="minorHAnsi"/>
                    <w:sz w:val="18"/>
                    <w:szCs w:val="18"/>
                    <w:lang w:val="en-GB"/>
                  </w:rPr>
                  <w:t xml:space="preserve">1 </w:t>
                </w:r>
                <w:r w:rsidRPr="000D4A19">
                  <w:rPr>
                    <w:rFonts w:cstheme="minorHAnsi"/>
                    <w:i/>
                    <w:sz w:val="18"/>
                    <w:szCs w:val="18"/>
                    <w:lang w:val="en-GB"/>
                  </w:rPr>
                  <w:t>(1 minister for abuse of position, Art. 291 CC)</w:t>
                </w:r>
                <w:r w:rsidRPr="000D4A19">
                  <w:rPr>
                    <w:rFonts w:cstheme="minorHAnsi"/>
                    <w:sz w:val="18"/>
                    <w:szCs w:val="18"/>
                    <w:lang w:val="en-GB"/>
                  </w:rPr>
                  <w:t xml:space="preserve"> </w:t>
                </w:r>
              </w:p>
            </w:tc>
            <w:tc>
              <w:tcPr>
                <w:tcW w:w="2693" w:type="dxa"/>
              </w:tcPr>
              <w:p w14:paraId="1B6C0780" w14:textId="77777777" w:rsidR="009919AC" w:rsidRPr="000D4A19" w:rsidRDefault="009919AC" w:rsidP="004B7CAB">
                <w:pPr>
                  <w:pStyle w:val="Odlomakpopisa"/>
                  <w:ind w:left="0"/>
                  <w:rPr>
                    <w:rFonts w:cstheme="minorHAnsi"/>
                    <w:sz w:val="18"/>
                    <w:szCs w:val="18"/>
                    <w:lang w:val="en-GB"/>
                  </w:rPr>
                </w:pPr>
                <w:r w:rsidRPr="000D4A19">
                  <w:rPr>
                    <w:rFonts w:cstheme="minorHAnsi"/>
                    <w:sz w:val="18"/>
                    <w:szCs w:val="18"/>
                    <w:lang w:val="en-GB"/>
                  </w:rPr>
                  <w:t xml:space="preserve">3 </w:t>
                </w:r>
                <w:r w:rsidRPr="000D4A19">
                  <w:rPr>
                    <w:rFonts w:cstheme="minorHAnsi"/>
                    <w:i/>
                    <w:sz w:val="18"/>
                    <w:szCs w:val="18"/>
                    <w:lang w:val="en-GB"/>
                  </w:rPr>
                  <w:t>(1 minister and 1 assistant minister for abuse of position, Art. 291 CC; 1 assistant minister for trading influence, Art. 295 CC)</w:t>
                </w:r>
              </w:p>
            </w:tc>
            <w:tc>
              <w:tcPr>
                <w:tcW w:w="4252" w:type="dxa"/>
              </w:tcPr>
              <w:p w14:paraId="1A687046" w14:textId="77777777" w:rsidR="009919AC" w:rsidRPr="000D4A19" w:rsidRDefault="009919AC" w:rsidP="004B7CAB">
                <w:pPr>
                  <w:pStyle w:val="Odlomakpopisa"/>
                  <w:ind w:left="0"/>
                  <w:rPr>
                    <w:rFonts w:cstheme="minorHAnsi"/>
                    <w:sz w:val="18"/>
                    <w:szCs w:val="18"/>
                    <w:lang w:val="en-GB"/>
                  </w:rPr>
                </w:pPr>
                <w:r w:rsidRPr="000D4A19">
                  <w:rPr>
                    <w:rFonts w:cstheme="minorHAnsi"/>
                    <w:sz w:val="18"/>
                    <w:szCs w:val="18"/>
                    <w:lang w:val="en-GB"/>
                  </w:rPr>
                  <w:t>0</w:t>
                </w:r>
              </w:p>
            </w:tc>
          </w:tr>
          <w:tr w:rsidR="009919AC" w:rsidRPr="000D4A19" w14:paraId="1603D375" w14:textId="77777777" w:rsidTr="002B24B1">
            <w:tc>
              <w:tcPr>
                <w:tcW w:w="710" w:type="dxa"/>
                <w:shd w:val="pct15" w:color="auto" w:fill="auto"/>
              </w:tcPr>
              <w:p w14:paraId="4EE6E25A" w14:textId="77777777" w:rsidR="009919AC" w:rsidRPr="000D4A19" w:rsidRDefault="009919AC" w:rsidP="004B7CAB">
                <w:pPr>
                  <w:pStyle w:val="Odlomakpopisa"/>
                  <w:ind w:left="0"/>
                  <w:rPr>
                    <w:rFonts w:cstheme="minorHAnsi"/>
                    <w:b/>
                    <w:sz w:val="18"/>
                    <w:szCs w:val="18"/>
                    <w:lang w:val="en-GB"/>
                  </w:rPr>
                </w:pPr>
                <w:r w:rsidRPr="000D4A19">
                  <w:rPr>
                    <w:rFonts w:cstheme="minorHAnsi"/>
                    <w:b/>
                    <w:sz w:val="18"/>
                    <w:szCs w:val="18"/>
                    <w:lang w:val="en-GB"/>
                  </w:rPr>
                  <w:t xml:space="preserve">2016 </w:t>
                </w:r>
              </w:p>
            </w:tc>
            <w:tc>
              <w:tcPr>
                <w:tcW w:w="2410" w:type="dxa"/>
              </w:tcPr>
              <w:p w14:paraId="0A867569" w14:textId="77777777" w:rsidR="009919AC" w:rsidRPr="000D4A19" w:rsidRDefault="009919AC" w:rsidP="004B7CAB">
                <w:pPr>
                  <w:pStyle w:val="Odlomakpopisa"/>
                  <w:ind w:left="0"/>
                  <w:rPr>
                    <w:rFonts w:cstheme="minorHAnsi"/>
                    <w:sz w:val="18"/>
                    <w:szCs w:val="18"/>
                    <w:lang w:val="en-GB"/>
                  </w:rPr>
                </w:pPr>
                <w:r w:rsidRPr="000D4A19">
                  <w:rPr>
                    <w:rFonts w:cstheme="minorHAnsi"/>
                    <w:sz w:val="18"/>
                    <w:szCs w:val="18"/>
                    <w:lang w:val="en-GB"/>
                  </w:rPr>
                  <w:t xml:space="preserve">2 </w:t>
                </w:r>
                <w:r w:rsidRPr="000D4A19">
                  <w:rPr>
                    <w:rFonts w:cstheme="minorHAnsi"/>
                    <w:i/>
                    <w:sz w:val="18"/>
                    <w:szCs w:val="18"/>
                    <w:lang w:val="en-GB"/>
                  </w:rPr>
                  <w:t>(1 minister and 1 assistant minister for abuse of position, Art. 291 CC)</w:t>
                </w:r>
                <w:r w:rsidRPr="000D4A19">
                  <w:rPr>
                    <w:rFonts w:cstheme="minorHAnsi"/>
                    <w:sz w:val="18"/>
                    <w:szCs w:val="18"/>
                    <w:lang w:val="en-GB"/>
                  </w:rPr>
                  <w:t xml:space="preserve"> </w:t>
                </w:r>
              </w:p>
            </w:tc>
            <w:tc>
              <w:tcPr>
                <w:tcW w:w="2693" w:type="dxa"/>
              </w:tcPr>
              <w:p w14:paraId="6352E109" w14:textId="77777777" w:rsidR="009919AC" w:rsidRPr="000D4A19" w:rsidRDefault="009919AC" w:rsidP="004B7CAB">
                <w:pPr>
                  <w:pStyle w:val="Odlomakpopisa"/>
                  <w:ind w:left="0"/>
                  <w:rPr>
                    <w:rFonts w:cstheme="minorHAnsi"/>
                    <w:i/>
                    <w:sz w:val="18"/>
                    <w:szCs w:val="18"/>
                    <w:lang w:val="en-GB"/>
                  </w:rPr>
                </w:pPr>
                <w:r w:rsidRPr="000D4A19">
                  <w:rPr>
                    <w:rFonts w:cstheme="minorHAnsi"/>
                    <w:sz w:val="18"/>
                    <w:szCs w:val="18"/>
                    <w:lang w:val="en-GB"/>
                  </w:rPr>
                  <w:t xml:space="preserve">2 </w:t>
                </w:r>
                <w:r w:rsidRPr="000D4A19">
                  <w:rPr>
                    <w:rFonts w:cstheme="minorHAnsi"/>
                    <w:i/>
                    <w:sz w:val="18"/>
                    <w:szCs w:val="18"/>
                    <w:lang w:val="en-GB"/>
                  </w:rPr>
                  <w:t xml:space="preserve">(1 minister and 1 assistant minister for abuse of position, Art. 291 CC) </w:t>
                </w:r>
              </w:p>
            </w:tc>
            <w:tc>
              <w:tcPr>
                <w:tcW w:w="4252" w:type="dxa"/>
              </w:tcPr>
              <w:p w14:paraId="7D8FF054" w14:textId="77777777" w:rsidR="009919AC" w:rsidRPr="000D4A19" w:rsidRDefault="009919AC" w:rsidP="004B7CAB">
                <w:pPr>
                  <w:pStyle w:val="Odlomakpopisa"/>
                  <w:ind w:left="0"/>
                  <w:rPr>
                    <w:rFonts w:cstheme="minorHAnsi"/>
                    <w:sz w:val="18"/>
                    <w:szCs w:val="18"/>
                    <w:lang w:val="en-GB"/>
                  </w:rPr>
                </w:pPr>
                <w:r w:rsidRPr="000D4A19">
                  <w:rPr>
                    <w:rFonts w:cstheme="minorHAnsi"/>
                    <w:sz w:val="18"/>
                    <w:szCs w:val="18"/>
                    <w:lang w:val="en-GB"/>
                  </w:rPr>
                  <w:t>0</w:t>
                </w:r>
              </w:p>
            </w:tc>
          </w:tr>
          <w:tr w:rsidR="009919AC" w:rsidRPr="00D245DB" w14:paraId="686632AE" w14:textId="77777777" w:rsidTr="002B24B1">
            <w:tc>
              <w:tcPr>
                <w:tcW w:w="710" w:type="dxa"/>
                <w:shd w:val="pct15" w:color="auto" w:fill="auto"/>
              </w:tcPr>
              <w:p w14:paraId="2BD3FC9B" w14:textId="77777777" w:rsidR="009919AC" w:rsidRPr="000D4A19" w:rsidRDefault="009919AC" w:rsidP="004B7CAB">
                <w:pPr>
                  <w:pStyle w:val="Odlomakpopisa"/>
                  <w:ind w:left="0"/>
                  <w:rPr>
                    <w:rFonts w:cstheme="minorHAnsi"/>
                    <w:b/>
                    <w:sz w:val="18"/>
                    <w:szCs w:val="18"/>
                    <w:lang w:val="en-GB"/>
                  </w:rPr>
                </w:pPr>
                <w:r w:rsidRPr="000D4A19">
                  <w:rPr>
                    <w:rFonts w:cstheme="minorHAnsi"/>
                    <w:b/>
                    <w:sz w:val="18"/>
                    <w:szCs w:val="18"/>
                    <w:lang w:val="en-GB"/>
                  </w:rPr>
                  <w:t>2017</w:t>
                </w:r>
              </w:p>
            </w:tc>
            <w:tc>
              <w:tcPr>
                <w:tcW w:w="2410" w:type="dxa"/>
              </w:tcPr>
              <w:p w14:paraId="7E8E9C9F" w14:textId="77777777" w:rsidR="009919AC" w:rsidRPr="000D4A19" w:rsidRDefault="009919AC" w:rsidP="004B7CAB">
                <w:pPr>
                  <w:pStyle w:val="Odlomakpopisa"/>
                  <w:ind w:left="0"/>
                  <w:rPr>
                    <w:rFonts w:cstheme="minorHAnsi"/>
                    <w:i/>
                    <w:sz w:val="18"/>
                    <w:szCs w:val="18"/>
                    <w:lang w:val="en-GB"/>
                  </w:rPr>
                </w:pPr>
                <w:r w:rsidRPr="000D4A19">
                  <w:rPr>
                    <w:rFonts w:cstheme="minorHAnsi"/>
                    <w:sz w:val="18"/>
                    <w:szCs w:val="18"/>
                    <w:lang w:val="en-GB"/>
                  </w:rPr>
                  <w:t xml:space="preserve">1 </w:t>
                </w:r>
                <w:r w:rsidRPr="000D4A19">
                  <w:rPr>
                    <w:rFonts w:cstheme="minorHAnsi"/>
                    <w:i/>
                    <w:sz w:val="18"/>
                    <w:szCs w:val="18"/>
                    <w:lang w:val="en-GB"/>
                  </w:rPr>
                  <w:t xml:space="preserve">(1 head of office of the prime-minister for abuse of position, Art. 291 CC, and forgery, Art. 279 CC). </w:t>
                </w:r>
              </w:p>
            </w:tc>
            <w:tc>
              <w:tcPr>
                <w:tcW w:w="2693" w:type="dxa"/>
              </w:tcPr>
              <w:p w14:paraId="401B898E" w14:textId="77777777" w:rsidR="009919AC" w:rsidRPr="000D4A19" w:rsidRDefault="009919AC" w:rsidP="004B7CAB">
                <w:pPr>
                  <w:pStyle w:val="Odlomakpopisa"/>
                  <w:ind w:left="0"/>
                  <w:rPr>
                    <w:rFonts w:cstheme="minorHAnsi"/>
                    <w:sz w:val="18"/>
                    <w:szCs w:val="18"/>
                    <w:lang w:val="en-GB"/>
                  </w:rPr>
                </w:pPr>
                <w:r w:rsidRPr="000D4A19">
                  <w:rPr>
                    <w:rFonts w:cstheme="minorHAnsi"/>
                    <w:sz w:val="18"/>
                    <w:szCs w:val="18"/>
                    <w:lang w:val="en-GB"/>
                  </w:rPr>
                  <w:t xml:space="preserve">2 </w:t>
                </w:r>
                <w:r w:rsidRPr="000D4A19">
                  <w:rPr>
                    <w:rFonts w:cstheme="minorHAnsi"/>
                    <w:i/>
                    <w:sz w:val="18"/>
                    <w:szCs w:val="18"/>
                    <w:lang w:val="en-GB"/>
                  </w:rPr>
                  <w:t xml:space="preserve">(1 head of office of the prime-minister for abuse of position, Article 291 CC, and forgery, Art. 279 CC; 1 minister for abuse of position, Article 291 CC). </w:t>
                </w:r>
              </w:p>
            </w:tc>
            <w:tc>
              <w:tcPr>
                <w:tcW w:w="4252" w:type="dxa"/>
              </w:tcPr>
              <w:p w14:paraId="7B78E7EC" w14:textId="77777777" w:rsidR="009919AC" w:rsidRPr="000D4A19" w:rsidRDefault="009919AC" w:rsidP="004B7CAB">
                <w:pPr>
                  <w:pStyle w:val="Odlomakpopisa"/>
                  <w:ind w:left="0"/>
                  <w:rPr>
                    <w:rFonts w:cstheme="minorHAnsi"/>
                    <w:i/>
                    <w:sz w:val="18"/>
                    <w:szCs w:val="18"/>
                    <w:lang w:val="en-GB"/>
                  </w:rPr>
                </w:pPr>
                <w:r w:rsidRPr="000D4A19">
                  <w:rPr>
                    <w:rFonts w:cstheme="minorHAnsi"/>
                    <w:sz w:val="18"/>
                    <w:szCs w:val="18"/>
                    <w:lang w:val="en-GB"/>
                  </w:rPr>
                  <w:t xml:space="preserve">2 </w:t>
                </w:r>
                <w:r w:rsidRPr="000D4A19">
                  <w:rPr>
                    <w:rFonts w:cstheme="minorHAnsi"/>
                    <w:i/>
                    <w:sz w:val="18"/>
                    <w:szCs w:val="18"/>
                    <w:lang w:val="en-GB"/>
                  </w:rPr>
                  <w:t xml:space="preserve">(1 minister: non-final acquittal for abuse of position, Art. 291 CC; 1 prime-minister – non-final conviction to four years’ and six months’ imprisonment for abuse of positions, Art. 291 CC) </w:t>
                </w:r>
              </w:p>
            </w:tc>
          </w:tr>
          <w:tr w:rsidR="009919AC" w:rsidRPr="00D245DB" w14:paraId="335EAA97" w14:textId="77777777" w:rsidTr="002B24B1">
            <w:tc>
              <w:tcPr>
                <w:tcW w:w="710" w:type="dxa"/>
                <w:shd w:val="pct15" w:color="auto" w:fill="auto"/>
              </w:tcPr>
              <w:p w14:paraId="33B3376C" w14:textId="77777777" w:rsidR="009919AC" w:rsidRPr="000D4A19" w:rsidRDefault="009919AC" w:rsidP="004B7CAB">
                <w:pPr>
                  <w:pStyle w:val="Odlomakpopisa"/>
                  <w:ind w:left="0"/>
                  <w:rPr>
                    <w:rFonts w:cstheme="minorHAnsi"/>
                    <w:b/>
                    <w:sz w:val="18"/>
                    <w:szCs w:val="18"/>
                    <w:lang w:val="en-GB"/>
                  </w:rPr>
                </w:pPr>
                <w:r w:rsidRPr="000D4A19">
                  <w:rPr>
                    <w:rFonts w:cstheme="minorHAnsi"/>
                    <w:b/>
                    <w:sz w:val="18"/>
                    <w:szCs w:val="18"/>
                    <w:lang w:val="en-GB"/>
                  </w:rPr>
                  <w:t>2018</w:t>
                </w:r>
              </w:p>
            </w:tc>
            <w:tc>
              <w:tcPr>
                <w:tcW w:w="2410" w:type="dxa"/>
              </w:tcPr>
              <w:p w14:paraId="7D61E786" w14:textId="77777777" w:rsidR="009919AC" w:rsidRPr="000D4A19" w:rsidRDefault="009919AC" w:rsidP="004B7CAB">
                <w:pPr>
                  <w:pStyle w:val="Odlomakpopisa"/>
                  <w:ind w:left="0"/>
                  <w:rPr>
                    <w:rFonts w:cstheme="minorHAnsi"/>
                    <w:i/>
                    <w:sz w:val="18"/>
                    <w:szCs w:val="18"/>
                    <w:lang w:val="en-GB"/>
                  </w:rPr>
                </w:pPr>
                <w:r w:rsidRPr="000D4A19">
                  <w:rPr>
                    <w:rFonts w:cstheme="minorHAnsi"/>
                    <w:sz w:val="18"/>
                    <w:szCs w:val="18"/>
                    <w:lang w:val="en-GB"/>
                  </w:rPr>
                  <w:t xml:space="preserve">0 </w:t>
                </w:r>
              </w:p>
            </w:tc>
            <w:tc>
              <w:tcPr>
                <w:tcW w:w="2693" w:type="dxa"/>
              </w:tcPr>
              <w:p w14:paraId="2FFBEFD9" w14:textId="77777777" w:rsidR="009919AC" w:rsidRPr="000D4A19" w:rsidRDefault="009919AC" w:rsidP="004B7CAB">
                <w:pPr>
                  <w:pStyle w:val="Odlomakpopisa"/>
                  <w:ind w:left="0"/>
                  <w:rPr>
                    <w:rFonts w:cstheme="minorHAnsi"/>
                    <w:sz w:val="18"/>
                    <w:szCs w:val="18"/>
                    <w:lang w:val="en-GB"/>
                  </w:rPr>
                </w:pPr>
                <w:r w:rsidRPr="000D4A19">
                  <w:rPr>
                    <w:rFonts w:cstheme="minorHAnsi"/>
                    <w:sz w:val="18"/>
                    <w:szCs w:val="18"/>
                    <w:lang w:val="en-GB"/>
                  </w:rPr>
                  <w:t>0</w:t>
                </w:r>
              </w:p>
            </w:tc>
            <w:tc>
              <w:tcPr>
                <w:tcW w:w="4252" w:type="dxa"/>
              </w:tcPr>
              <w:p w14:paraId="6F2D2E86" w14:textId="77777777" w:rsidR="009919AC" w:rsidRPr="000D4A19" w:rsidRDefault="009919AC" w:rsidP="004B7CAB">
                <w:pPr>
                  <w:pStyle w:val="Odlomakpopisa"/>
                  <w:ind w:left="0"/>
                  <w:rPr>
                    <w:rFonts w:cstheme="minorHAnsi"/>
                    <w:b/>
                    <w:sz w:val="18"/>
                    <w:szCs w:val="18"/>
                    <w:lang w:val="en-GB"/>
                  </w:rPr>
                </w:pPr>
                <w:r w:rsidRPr="000D4A19">
                  <w:rPr>
                    <w:rFonts w:cstheme="minorHAnsi"/>
                    <w:sz w:val="18"/>
                    <w:szCs w:val="18"/>
                    <w:lang w:val="en-GB"/>
                  </w:rPr>
                  <w:t xml:space="preserve">2 </w:t>
                </w:r>
                <w:r w:rsidRPr="000D4A19">
                  <w:rPr>
                    <w:rFonts w:cstheme="minorHAnsi"/>
                    <w:i/>
                    <w:sz w:val="18"/>
                    <w:szCs w:val="18"/>
                    <w:lang w:val="en-GB"/>
                  </w:rPr>
                  <w:t xml:space="preserve">(1 assistant minister – non-final conviction to three years’ imprisonment for passive bribery, Art. 293 CC;1 prime-minister - non-final conviction to two years’ and six months’ imprisonment for abuse of position, which were reopened procedures due to the Constitutional Court judgment of 2015) </w:t>
                </w:r>
              </w:p>
            </w:tc>
          </w:tr>
        </w:tbl>
        <w:p w14:paraId="37E2707F" w14:textId="77777777" w:rsidR="0001753C" w:rsidRPr="000D4A19" w:rsidRDefault="002A4EC4" w:rsidP="0001753C">
          <w:pPr>
            <w:spacing w:after="0" w:line="240" w:lineRule="auto"/>
            <w:rPr>
              <w:lang w:val="en-GB"/>
            </w:rPr>
          </w:pPr>
        </w:p>
      </w:sdtContent>
    </w:sdt>
    <w:bookmarkStart w:id="124" w:name="_Toc492886116" w:displacedByCustomXml="prev"/>
    <w:p w14:paraId="1CAAF46F" w14:textId="169D9ED1" w:rsidR="0001753C" w:rsidRPr="000D4A19" w:rsidRDefault="0001753C" w:rsidP="0001753C">
      <w:pPr>
        <w:spacing w:after="0" w:line="240" w:lineRule="auto"/>
        <w:rPr>
          <w:rFonts w:eastAsiaTheme="majorEastAsia" w:cstheme="majorBidi"/>
          <w:bCs/>
          <w:i/>
          <w:sz w:val="24"/>
          <w:szCs w:val="24"/>
          <w:lang w:val="en-GB"/>
        </w:rPr>
      </w:pPr>
      <w:r w:rsidRPr="000D4A19">
        <w:rPr>
          <w:sz w:val="24"/>
          <w:szCs w:val="24"/>
          <w:lang w:val="en-GB"/>
        </w:rPr>
        <w:br w:type="page"/>
      </w:r>
    </w:p>
    <w:p w14:paraId="2852BAA0" w14:textId="2CCBACA5" w:rsidR="00B80FC9" w:rsidRPr="000D4A19" w:rsidRDefault="00B80FC9" w:rsidP="004B7CAB">
      <w:pPr>
        <w:pStyle w:val="Naslov1"/>
        <w:keepNext w:val="0"/>
        <w:keepLines w:val="0"/>
        <w:tabs>
          <w:tab w:val="left" w:pos="709"/>
        </w:tabs>
        <w:spacing w:before="0" w:line="240" w:lineRule="auto"/>
        <w:rPr>
          <w:rFonts w:asciiTheme="minorHAnsi" w:hAnsiTheme="minorHAnsi"/>
          <w:color w:val="auto"/>
          <w:sz w:val="24"/>
          <w:szCs w:val="24"/>
          <w:lang w:val="en-GB"/>
        </w:rPr>
      </w:pPr>
      <w:bookmarkStart w:id="125" w:name="_Toc25229317"/>
      <w:r w:rsidRPr="000D4A19">
        <w:rPr>
          <w:rFonts w:asciiTheme="minorHAnsi" w:hAnsiTheme="minorHAnsi"/>
          <w:color w:val="auto"/>
          <w:sz w:val="24"/>
          <w:szCs w:val="24"/>
          <w:lang w:val="en-GB"/>
        </w:rPr>
        <w:t>V.</w:t>
      </w:r>
      <w:r w:rsidRPr="000D4A19">
        <w:rPr>
          <w:rFonts w:asciiTheme="minorHAnsi" w:hAnsiTheme="minorHAnsi"/>
          <w:color w:val="auto"/>
          <w:sz w:val="24"/>
          <w:szCs w:val="24"/>
          <w:lang w:val="en-GB"/>
        </w:rPr>
        <w:tab/>
      </w:r>
      <w:r w:rsidRPr="000D4A19">
        <w:rPr>
          <w:rFonts w:asciiTheme="minorHAnsi" w:hAnsiTheme="minorHAnsi"/>
          <w:color w:val="auto"/>
          <w:sz w:val="24"/>
          <w:szCs w:val="24"/>
          <w:u w:val="single"/>
          <w:lang w:val="en-GB"/>
        </w:rPr>
        <w:t>CORRUPTION PREVENTION IN LAW ENFORCEMENT AGENCIES</w:t>
      </w:r>
      <w:bookmarkEnd w:id="124"/>
      <w:bookmarkEnd w:id="125"/>
    </w:p>
    <w:sdt>
      <w:sdtPr>
        <w:rPr>
          <w:lang w:val="en-GB"/>
        </w:rPr>
        <w:tag w:val="{B1D8A46C-BF65-4402-8DAD-63A714A86FB3}"/>
        <w:id w:val="1877727176"/>
        <w:lock w:val="sdtLocked"/>
      </w:sdtPr>
      <w:sdtEndPr/>
      <w:sdtContent>
        <w:p w14:paraId="08CE472C" w14:textId="77777777" w:rsidR="00E31A6F" w:rsidRPr="000D4A19" w:rsidRDefault="00E31A6F" w:rsidP="004B7CAB">
          <w:pPr>
            <w:tabs>
              <w:tab w:val="left" w:pos="567"/>
              <w:tab w:val="left" w:pos="709"/>
            </w:tabs>
            <w:spacing w:after="0" w:line="240" w:lineRule="auto"/>
            <w:rPr>
              <w:sz w:val="24"/>
              <w:szCs w:val="24"/>
              <w:lang w:val="en-GB"/>
            </w:rPr>
          </w:pPr>
        </w:p>
        <w:p w14:paraId="6C8D1B8E" w14:textId="77777777" w:rsidR="009919AC" w:rsidRPr="000D4A19" w:rsidRDefault="009919AC" w:rsidP="004B7CAB">
          <w:pPr>
            <w:pStyle w:val="Naslov2"/>
            <w:keepNext w:val="0"/>
            <w:keepLines w:val="0"/>
            <w:tabs>
              <w:tab w:val="left" w:pos="709"/>
            </w:tabs>
            <w:spacing w:before="0" w:line="240" w:lineRule="auto"/>
            <w:jc w:val="both"/>
            <w:rPr>
              <w:rFonts w:asciiTheme="minorHAnsi" w:hAnsiTheme="minorHAnsi"/>
              <w:color w:val="auto"/>
              <w:sz w:val="24"/>
              <w:szCs w:val="24"/>
              <w:u w:val="single"/>
              <w:lang w:val="en-GB"/>
            </w:rPr>
          </w:pPr>
          <w:bookmarkStart w:id="126" w:name="_Toc4762873"/>
          <w:bookmarkStart w:id="127" w:name="_Toc25229318"/>
          <w:bookmarkStart w:id="128" w:name="_Toc484088331"/>
          <w:r w:rsidRPr="000D4A19">
            <w:rPr>
              <w:rFonts w:asciiTheme="minorHAnsi" w:hAnsiTheme="minorHAnsi"/>
              <w:color w:val="auto"/>
              <w:sz w:val="24"/>
              <w:szCs w:val="24"/>
              <w:u w:val="single"/>
              <w:lang w:val="en-GB"/>
            </w:rPr>
            <w:t>Organisation and accountability law enforcement/police authorities</w:t>
          </w:r>
          <w:bookmarkEnd w:id="126"/>
          <w:bookmarkEnd w:id="127"/>
        </w:p>
        <w:p w14:paraId="7C66F5BE" w14:textId="77777777" w:rsidR="009919AC" w:rsidRPr="000D4A19" w:rsidRDefault="009919AC" w:rsidP="004B7CAB">
          <w:pPr>
            <w:spacing w:after="0" w:line="240" w:lineRule="auto"/>
            <w:jc w:val="both"/>
            <w:rPr>
              <w:rFonts w:cstheme="minorHAnsi"/>
              <w:sz w:val="24"/>
              <w:szCs w:val="24"/>
              <w:lang w:val="en-GB"/>
            </w:rPr>
          </w:pPr>
          <w:bookmarkStart w:id="129" w:name="_Toc342554301"/>
          <w:bookmarkStart w:id="130" w:name="_Toc342640976"/>
          <w:bookmarkEnd w:id="128"/>
        </w:p>
        <w:p w14:paraId="14EE6E3D" w14:textId="7E0D280D"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color w:val="auto"/>
              <w:sz w:val="24"/>
              <w:szCs w:val="24"/>
              <w:lang w:val="en-GB"/>
            </w:rPr>
          </w:pPr>
          <w:bookmarkStart w:id="131" w:name="_Toc4762874"/>
          <w:bookmarkStart w:id="132" w:name="_Toc25229319"/>
          <w:bookmarkStart w:id="133" w:name="_Toc484088333"/>
          <w:bookmarkEnd w:id="129"/>
          <w:bookmarkEnd w:id="130"/>
          <w:r w:rsidRPr="000D4A19">
            <w:rPr>
              <w:rFonts w:asciiTheme="minorHAnsi" w:hAnsiTheme="minorHAnsi"/>
              <w:b w:val="0"/>
              <w:i/>
              <w:color w:val="auto"/>
              <w:sz w:val="24"/>
              <w:szCs w:val="24"/>
              <w:lang w:val="en-GB"/>
            </w:rPr>
            <w:t>Organisation and accountability of selected law enforcement authorities</w:t>
          </w:r>
          <w:bookmarkEnd w:id="131"/>
          <w:bookmarkEnd w:id="132"/>
          <w:r w:rsidR="00503955" w:rsidRPr="000D4A19">
            <w:rPr>
              <w:rFonts w:asciiTheme="minorHAnsi" w:hAnsiTheme="minorHAnsi"/>
              <w:b w:val="0"/>
              <w:i/>
              <w:color w:val="auto"/>
              <w:sz w:val="24"/>
              <w:szCs w:val="24"/>
              <w:lang w:val="en-GB"/>
            </w:rPr>
            <w:t xml:space="preserve"> </w:t>
          </w:r>
        </w:p>
        <w:bookmarkEnd w:id="133"/>
        <w:p w14:paraId="1A07E983" w14:textId="77777777" w:rsidR="009919AC" w:rsidRPr="000D4A19" w:rsidRDefault="009919AC" w:rsidP="004B7CAB">
          <w:pPr>
            <w:spacing w:after="0" w:line="240" w:lineRule="auto"/>
            <w:jc w:val="both"/>
            <w:rPr>
              <w:rFonts w:cstheme="minorHAnsi"/>
              <w:sz w:val="24"/>
              <w:szCs w:val="24"/>
              <w:lang w:val="en-GB"/>
            </w:rPr>
          </w:pPr>
        </w:p>
        <w:p w14:paraId="3C9607C7" w14:textId="55D67D26" w:rsidR="009919AC" w:rsidRPr="000D4A19" w:rsidRDefault="009919AC" w:rsidP="00715CBC">
          <w:pPr>
            <w:numPr>
              <w:ilvl w:val="0"/>
              <w:numId w:val="1"/>
            </w:numPr>
            <w:tabs>
              <w:tab w:val="clear" w:pos="2410"/>
              <w:tab w:val="num" w:pos="709"/>
              <w:tab w:val="num" w:pos="851"/>
              <w:tab w:val="num" w:pos="8222"/>
            </w:tabs>
            <w:spacing w:after="0" w:line="240" w:lineRule="auto"/>
            <w:ind w:left="0" w:firstLine="0"/>
            <w:jc w:val="both"/>
            <w:rPr>
              <w:rFonts w:ascii="Calibri" w:eastAsiaTheme="majorEastAsia" w:hAnsi="Calibri" w:cstheme="majorBidi"/>
              <w:bCs/>
              <w:sz w:val="24"/>
              <w:szCs w:val="24"/>
              <w:lang w:val="en-GB"/>
            </w:rPr>
          </w:pPr>
          <w:r w:rsidRPr="000D4A19">
            <w:rPr>
              <w:rFonts w:ascii="Calibri" w:eastAsiaTheme="majorEastAsia" w:hAnsi="Calibri" w:cstheme="majorBidi"/>
              <w:bCs/>
              <w:sz w:val="24"/>
              <w:szCs w:val="24"/>
              <w:lang w:val="en-GB"/>
            </w:rPr>
            <w:t xml:space="preserve">Croatia’s main law enforcement body is the </w:t>
          </w:r>
          <w:r w:rsidR="00175E0E" w:rsidRPr="000D4A19">
            <w:rPr>
              <w:rFonts w:ascii="Calibri" w:eastAsiaTheme="majorEastAsia" w:hAnsi="Calibri" w:cstheme="majorBidi"/>
              <w:bCs/>
              <w:sz w:val="24"/>
              <w:szCs w:val="24"/>
              <w:u w:val="single"/>
              <w:lang w:val="en-GB"/>
            </w:rPr>
            <w:t>p</w:t>
          </w:r>
          <w:r w:rsidRPr="000D4A19">
            <w:rPr>
              <w:rFonts w:ascii="Calibri" w:eastAsiaTheme="majorEastAsia" w:hAnsi="Calibri" w:cstheme="majorBidi"/>
              <w:bCs/>
              <w:sz w:val="24"/>
              <w:szCs w:val="24"/>
              <w:u w:val="single"/>
              <w:lang w:val="en-GB"/>
            </w:rPr>
            <w:t>olice</w:t>
          </w:r>
          <w:r w:rsidRPr="000D4A19">
            <w:rPr>
              <w:rFonts w:ascii="Calibri" w:eastAsiaTheme="majorEastAsia" w:hAnsi="Calibri" w:cstheme="majorBidi"/>
              <w:bCs/>
              <w:sz w:val="24"/>
              <w:szCs w:val="24"/>
              <w:lang w:val="en-GB"/>
            </w:rPr>
            <w:t>, which is a directorate of the Ministry of Interior. It is a civilian organisation. It</w:t>
          </w:r>
          <w:r w:rsidR="007A42EA">
            <w:rPr>
              <w:rFonts w:ascii="Calibri" w:eastAsiaTheme="majorEastAsia" w:hAnsi="Calibri" w:cstheme="majorBidi"/>
              <w:bCs/>
              <w:sz w:val="24"/>
              <w:szCs w:val="24"/>
              <w:lang w:val="en-GB"/>
            </w:rPr>
            <w:t>s</w:t>
          </w:r>
          <w:r w:rsidRPr="000D4A19">
            <w:rPr>
              <w:rFonts w:ascii="Calibri" w:eastAsiaTheme="majorEastAsia" w:hAnsi="Calibri" w:cstheme="majorBidi"/>
              <w:bCs/>
              <w:sz w:val="24"/>
              <w:szCs w:val="24"/>
              <w:lang w:val="en-GB"/>
            </w:rPr>
            <w:t xml:space="preserve"> activities are regulated by the Police Act and the Police Duties and Powers Act (which are complemented by</w:t>
          </w:r>
          <w:r w:rsidR="00175494" w:rsidRPr="000D4A19">
            <w:rPr>
              <w:rFonts w:ascii="Calibri" w:eastAsiaTheme="majorEastAsia" w:hAnsi="Calibri" w:cstheme="majorBidi"/>
              <w:bCs/>
              <w:sz w:val="24"/>
              <w:szCs w:val="24"/>
              <w:lang w:val="en-GB"/>
            </w:rPr>
            <w:t xml:space="preserve"> various ordinances </w:t>
          </w:r>
          <w:r w:rsidRPr="000D4A19">
            <w:rPr>
              <w:rFonts w:ascii="Calibri" w:eastAsiaTheme="majorEastAsia" w:hAnsi="Calibri" w:cstheme="majorBidi"/>
              <w:bCs/>
              <w:sz w:val="24"/>
              <w:szCs w:val="24"/>
              <w:lang w:val="en-GB"/>
            </w:rPr>
            <w:t xml:space="preserve">regulating specific aspects of police activities). The remit of the police covers the entire area of Croatia, and includes border control. </w:t>
          </w:r>
        </w:p>
        <w:p w14:paraId="62B5382E" w14:textId="77777777" w:rsidR="009919AC" w:rsidRPr="000D4A19" w:rsidRDefault="009919AC" w:rsidP="004B7CAB">
          <w:pPr>
            <w:tabs>
              <w:tab w:val="left" w:pos="709"/>
              <w:tab w:val="num" w:pos="8222"/>
            </w:tabs>
            <w:spacing w:after="0" w:line="240" w:lineRule="auto"/>
            <w:jc w:val="both"/>
            <w:rPr>
              <w:rFonts w:ascii="Calibri" w:eastAsiaTheme="majorEastAsia" w:hAnsi="Calibri" w:cstheme="majorBidi"/>
              <w:bCs/>
              <w:sz w:val="24"/>
              <w:szCs w:val="24"/>
              <w:lang w:val="en-GB"/>
            </w:rPr>
          </w:pPr>
        </w:p>
        <w:p w14:paraId="5D392336" w14:textId="75DF19EF" w:rsidR="009919AC" w:rsidRDefault="00175E0E" w:rsidP="00E46850">
          <w:pPr>
            <w:numPr>
              <w:ilvl w:val="0"/>
              <w:numId w:val="1"/>
            </w:numPr>
            <w:tabs>
              <w:tab w:val="clear" w:pos="2410"/>
              <w:tab w:val="left" w:pos="709"/>
              <w:tab w:val="num" w:pos="851"/>
              <w:tab w:val="num" w:pos="1557"/>
              <w:tab w:val="num" w:pos="8222"/>
            </w:tabs>
            <w:spacing w:after="0" w:line="240" w:lineRule="auto"/>
            <w:ind w:left="0" w:firstLine="0"/>
            <w:jc w:val="both"/>
            <w:rPr>
              <w:rFonts w:ascii="Calibri" w:eastAsiaTheme="majorEastAsia" w:hAnsi="Calibri" w:cstheme="majorBidi"/>
              <w:bCs/>
              <w:sz w:val="24"/>
              <w:szCs w:val="24"/>
              <w:lang w:val="en-GB"/>
            </w:rPr>
          </w:pPr>
          <w:r w:rsidRPr="000D4A19">
            <w:rPr>
              <w:rFonts w:ascii="Calibri" w:eastAsiaTheme="majorEastAsia" w:hAnsi="Calibri" w:cstheme="majorBidi"/>
              <w:bCs/>
              <w:sz w:val="24"/>
              <w:szCs w:val="24"/>
              <w:lang w:val="en-GB"/>
            </w:rPr>
            <w:t>The p</w:t>
          </w:r>
          <w:r w:rsidR="009919AC" w:rsidRPr="000D4A19">
            <w:rPr>
              <w:rFonts w:ascii="Calibri" w:eastAsiaTheme="majorEastAsia" w:hAnsi="Calibri" w:cstheme="majorBidi"/>
              <w:bCs/>
              <w:sz w:val="24"/>
              <w:szCs w:val="24"/>
              <w:lang w:val="en-GB"/>
            </w:rPr>
            <w:t xml:space="preserve">olice is organised in three hierarchical levels, the General Police Directorate (at the level of the Ministry of the Interior), police administrations organised territorially (in 20 regions) and police stations. The </w:t>
          </w:r>
          <w:r w:rsidRPr="000D4A19">
            <w:rPr>
              <w:rFonts w:ascii="Calibri" w:eastAsiaTheme="majorEastAsia" w:hAnsi="Calibri" w:cstheme="majorBidi"/>
              <w:bCs/>
              <w:sz w:val="24"/>
              <w:szCs w:val="24"/>
              <w:lang w:val="en-GB"/>
            </w:rPr>
            <w:t xml:space="preserve">Director General (or chief of police) heads the </w:t>
          </w:r>
          <w:r w:rsidR="009919AC" w:rsidRPr="000D4A19">
            <w:rPr>
              <w:rFonts w:ascii="Calibri" w:eastAsiaTheme="majorEastAsia" w:hAnsi="Calibri" w:cstheme="majorBidi"/>
              <w:bCs/>
              <w:sz w:val="24"/>
              <w:szCs w:val="24"/>
              <w:lang w:val="en-GB"/>
            </w:rPr>
            <w:t>General Police Directorate (divided in seven directorates</w:t>
          </w:r>
          <w:r w:rsidR="009919AC" w:rsidRPr="000D4A19">
            <w:rPr>
              <w:rStyle w:val="Referencafusnote"/>
              <w:rFonts w:ascii="Calibri" w:eastAsiaTheme="majorEastAsia" w:hAnsi="Calibri" w:cstheme="majorBidi"/>
              <w:bCs/>
              <w:sz w:val="24"/>
              <w:szCs w:val="24"/>
              <w:lang w:val="en-GB"/>
            </w:rPr>
            <w:footnoteReference w:id="51"/>
          </w:r>
          <w:r w:rsidR="009919AC" w:rsidRPr="000D4A19">
            <w:rPr>
              <w:rFonts w:ascii="Calibri" w:eastAsiaTheme="majorEastAsia" w:hAnsi="Calibri" w:cstheme="majorBidi"/>
              <w:bCs/>
              <w:sz w:val="24"/>
              <w:szCs w:val="24"/>
              <w:lang w:val="en-GB"/>
            </w:rPr>
            <w:t>)</w:t>
          </w:r>
          <w:r w:rsidRPr="000D4A19">
            <w:rPr>
              <w:rFonts w:ascii="Calibri" w:eastAsiaTheme="majorEastAsia" w:hAnsi="Calibri" w:cstheme="majorBidi"/>
              <w:bCs/>
              <w:sz w:val="24"/>
              <w:szCs w:val="24"/>
              <w:lang w:val="en-GB"/>
            </w:rPr>
            <w:t xml:space="preserve"> and </w:t>
          </w:r>
          <w:r w:rsidR="009919AC" w:rsidRPr="000D4A19">
            <w:rPr>
              <w:rFonts w:ascii="Calibri" w:eastAsiaTheme="majorEastAsia" w:hAnsi="Calibri" w:cstheme="majorBidi"/>
              <w:bCs/>
              <w:sz w:val="24"/>
              <w:szCs w:val="24"/>
              <w:lang w:val="en-GB"/>
            </w:rPr>
            <w:t>reports directly to the Minister. The heads of the 20 police administrations manage the work of the police administrations under their authority and account for their work to the Director General, with in turn the head of police stations accounting for their work to the respective head of the police administration in which the</w:t>
          </w:r>
          <w:r w:rsidR="007E2009" w:rsidRPr="000D4A19">
            <w:rPr>
              <w:rFonts w:ascii="Calibri" w:eastAsiaTheme="majorEastAsia" w:hAnsi="Calibri" w:cstheme="majorBidi"/>
              <w:bCs/>
              <w:sz w:val="24"/>
              <w:szCs w:val="24"/>
              <w:lang w:val="en-GB"/>
            </w:rPr>
            <w:t>ir</w:t>
          </w:r>
          <w:r w:rsidR="009919AC" w:rsidRPr="000D4A19">
            <w:rPr>
              <w:rFonts w:ascii="Calibri" w:eastAsiaTheme="majorEastAsia" w:hAnsi="Calibri" w:cstheme="majorBidi"/>
              <w:bCs/>
              <w:sz w:val="24"/>
              <w:szCs w:val="24"/>
              <w:lang w:val="en-GB"/>
            </w:rPr>
            <w:t xml:space="preserve"> police station is situated.</w:t>
          </w:r>
        </w:p>
        <w:p w14:paraId="0AF2E189" w14:textId="77777777" w:rsidR="00ED28E7" w:rsidRPr="000D4A19" w:rsidRDefault="00ED28E7" w:rsidP="00ED28E7">
          <w:pPr>
            <w:tabs>
              <w:tab w:val="left" w:pos="709"/>
              <w:tab w:val="num" w:pos="2410"/>
              <w:tab w:val="num" w:pos="8222"/>
            </w:tabs>
            <w:spacing w:after="0" w:line="240" w:lineRule="auto"/>
            <w:jc w:val="both"/>
            <w:rPr>
              <w:rFonts w:ascii="Calibri" w:eastAsiaTheme="majorEastAsia" w:hAnsi="Calibri" w:cstheme="majorBidi"/>
              <w:bCs/>
              <w:sz w:val="24"/>
              <w:szCs w:val="24"/>
              <w:lang w:val="en-GB"/>
            </w:rPr>
          </w:pPr>
        </w:p>
        <w:p w14:paraId="0DFC421B" w14:textId="1DA45F2C" w:rsidR="009919AC" w:rsidRPr="002B24B1" w:rsidRDefault="00175E0E" w:rsidP="004B7CAB">
          <w:pPr>
            <w:tabs>
              <w:tab w:val="left" w:pos="709"/>
            </w:tabs>
            <w:spacing w:after="0" w:line="240" w:lineRule="auto"/>
            <w:jc w:val="center"/>
            <w:rPr>
              <w:rFonts w:cstheme="minorHAnsi"/>
              <w:i/>
              <w:sz w:val="20"/>
              <w:szCs w:val="20"/>
              <w:lang w:val="en-GB"/>
            </w:rPr>
          </w:pPr>
          <w:r w:rsidRPr="002B24B1">
            <w:rPr>
              <w:rFonts w:cstheme="minorHAnsi"/>
              <w:i/>
              <w:sz w:val="20"/>
              <w:szCs w:val="20"/>
              <w:lang w:val="en-GB"/>
            </w:rPr>
            <w:t>The Croatian p</w:t>
          </w:r>
          <w:r w:rsidR="009919AC" w:rsidRPr="002B24B1">
            <w:rPr>
              <w:rFonts w:cstheme="minorHAnsi"/>
              <w:i/>
              <w:sz w:val="20"/>
              <w:szCs w:val="20"/>
              <w:lang w:val="en-GB"/>
            </w:rPr>
            <w:t>olice in numbers</w:t>
          </w:r>
        </w:p>
        <w:p w14:paraId="2180C6C6" w14:textId="77777777" w:rsidR="00FB0787" w:rsidRPr="000D4A19" w:rsidRDefault="00FB0787" w:rsidP="004B7CAB">
          <w:pPr>
            <w:tabs>
              <w:tab w:val="left" w:pos="709"/>
            </w:tabs>
            <w:spacing w:after="0" w:line="240" w:lineRule="auto"/>
            <w:jc w:val="center"/>
            <w:rPr>
              <w:rFonts w:cstheme="minorHAnsi"/>
              <w:b/>
              <w:i/>
              <w:lang w:val="en-GB"/>
            </w:rPr>
          </w:pPr>
        </w:p>
        <w:tbl>
          <w:tblPr>
            <w:tblStyle w:val="Reetkatablice"/>
            <w:tblW w:w="0" w:type="auto"/>
            <w:tblLook w:val="04A0" w:firstRow="1" w:lastRow="0" w:firstColumn="1" w:lastColumn="0" w:noHBand="0" w:noVBand="1"/>
          </w:tblPr>
          <w:tblGrid>
            <w:gridCol w:w="2638"/>
            <w:gridCol w:w="1229"/>
            <w:gridCol w:w="1315"/>
            <w:gridCol w:w="1575"/>
            <w:gridCol w:w="1067"/>
            <w:gridCol w:w="1236"/>
          </w:tblGrid>
          <w:tr w:rsidR="009919AC" w:rsidRPr="000D4A19" w14:paraId="72A4F5D9" w14:textId="77777777" w:rsidTr="009919AC">
            <w:tc>
              <w:tcPr>
                <w:tcW w:w="2718" w:type="dxa"/>
                <w:tcBorders>
                  <w:bottom w:val="single" w:sz="4" w:space="0" w:color="auto"/>
                </w:tcBorders>
                <w:shd w:val="clear" w:color="auto" w:fill="D9D9D9"/>
                <w:vAlign w:val="center"/>
              </w:tcPr>
              <w:p w14:paraId="64565FE9" w14:textId="77777777" w:rsidR="009919AC" w:rsidRPr="000D4A19" w:rsidRDefault="009919AC" w:rsidP="004B7CAB">
                <w:pPr>
                  <w:tabs>
                    <w:tab w:val="left" w:pos="709"/>
                  </w:tabs>
                  <w:rPr>
                    <w:rFonts w:cstheme="minorHAnsi"/>
                    <w:b/>
                    <w:i/>
                    <w:sz w:val="20"/>
                    <w:szCs w:val="20"/>
                    <w:lang w:val="en-GB"/>
                  </w:rPr>
                </w:pPr>
              </w:p>
            </w:tc>
            <w:tc>
              <w:tcPr>
                <w:tcW w:w="1260" w:type="dxa"/>
                <w:shd w:val="clear" w:color="auto" w:fill="D9D9D9"/>
                <w:vAlign w:val="center"/>
              </w:tcPr>
              <w:p w14:paraId="60AA6082" w14:textId="77777777" w:rsidR="009919AC" w:rsidRPr="000D4A19" w:rsidRDefault="009919AC" w:rsidP="004B7CAB">
                <w:pPr>
                  <w:tabs>
                    <w:tab w:val="left" w:pos="709"/>
                  </w:tabs>
                  <w:jc w:val="center"/>
                  <w:rPr>
                    <w:rFonts w:cstheme="minorHAnsi"/>
                    <w:b/>
                    <w:sz w:val="20"/>
                    <w:szCs w:val="20"/>
                    <w:lang w:val="en-GB"/>
                  </w:rPr>
                </w:pPr>
                <w:r w:rsidRPr="000D4A19">
                  <w:rPr>
                    <w:rFonts w:cstheme="minorHAnsi"/>
                    <w:b/>
                    <w:sz w:val="20"/>
                    <w:szCs w:val="20"/>
                    <w:lang w:val="en-GB"/>
                  </w:rPr>
                  <w:t>Total</w:t>
                </w:r>
              </w:p>
            </w:tc>
            <w:tc>
              <w:tcPr>
                <w:tcW w:w="1350" w:type="dxa"/>
                <w:shd w:val="clear" w:color="auto" w:fill="D9D9D9"/>
                <w:vAlign w:val="center"/>
              </w:tcPr>
              <w:p w14:paraId="03454687" w14:textId="77777777" w:rsidR="009919AC" w:rsidRPr="000D4A19" w:rsidRDefault="009919AC" w:rsidP="004B7CAB">
                <w:pPr>
                  <w:tabs>
                    <w:tab w:val="left" w:pos="709"/>
                  </w:tabs>
                  <w:jc w:val="center"/>
                  <w:rPr>
                    <w:rFonts w:cstheme="minorHAnsi"/>
                    <w:b/>
                    <w:sz w:val="20"/>
                    <w:szCs w:val="20"/>
                    <w:lang w:val="en-GB"/>
                  </w:rPr>
                </w:pPr>
                <w:r w:rsidRPr="000D4A19">
                  <w:rPr>
                    <w:rFonts w:cstheme="minorHAnsi"/>
                    <w:b/>
                    <w:sz w:val="20"/>
                    <w:szCs w:val="20"/>
                    <w:lang w:val="en-GB"/>
                  </w:rPr>
                  <w:t>Male</w:t>
                </w:r>
              </w:p>
            </w:tc>
            <w:tc>
              <w:tcPr>
                <w:tcW w:w="1620" w:type="dxa"/>
                <w:shd w:val="clear" w:color="auto" w:fill="D9D9D9"/>
                <w:vAlign w:val="center"/>
              </w:tcPr>
              <w:p w14:paraId="13AF60B8" w14:textId="77777777" w:rsidR="009919AC" w:rsidRPr="000D4A19" w:rsidRDefault="009919AC" w:rsidP="004B7CAB">
                <w:pPr>
                  <w:tabs>
                    <w:tab w:val="left" w:pos="709"/>
                  </w:tabs>
                  <w:jc w:val="center"/>
                  <w:rPr>
                    <w:rFonts w:cstheme="minorHAnsi"/>
                    <w:b/>
                    <w:sz w:val="20"/>
                    <w:szCs w:val="20"/>
                    <w:lang w:val="en-GB"/>
                  </w:rPr>
                </w:pPr>
                <w:r w:rsidRPr="000D4A19">
                  <w:rPr>
                    <w:rFonts w:cstheme="minorHAnsi"/>
                    <w:b/>
                    <w:sz w:val="20"/>
                    <w:szCs w:val="20"/>
                    <w:lang w:val="en-GB"/>
                  </w:rPr>
                  <w:t>Male %</w:t>
                </w:r>
              </w:p>
            </w:tc>
            <w:tc>
              <w:tcPr>
                <w:tcW w:w="1080" w:type="dxa"/>
                <w:shd w:val="clear" w:color="auto" w:fill="D9D9D9"/>
                <w:vAlign w:val="center"/>
              </w:tcPr>
              <w:p w14:paraId="4A1E24C0" w14:textId="77777777" w:rsidR="009919AC" w:rsidRPr="000D4A19" w:rsidRDefault="009919AC" w:rsidP="004B7CAB">
                <w:pPr>
                  <w:tabs>
                    <w:tab w:val="left" w:pos="709"/>
                  </w:tabs>
                  <w:jc w:val="center"/>
                  <w:rPr>
                    <w:rFonts w:cstheme="minorHAnsi"/>
                    <w:b/>
                    <w:sz w:val="20"/>
                    <w:szCs w:val="20"/>
                    <w:lang w:val="en-GB"/>
                  </w:rPr>
                </w:pPr>
                <w:r w:rsidRPr="000D4A19">
                  <w:rPr>
                    <w:rFonts w:cstheme="minorHAnsi"/>
                    <w:b/>
                    <w:sz w:val="20"/>
                    <w:szCs w:val="20"/>
                    <w:lang w:val="en-GB"/>
                  </w:rPr>
                  <w:t>Female</w:t>
                </w:r>
              </w:p>
            </w:tc>
            <w:tc>
              <w:tcPr>
                <w:tcW w:w="1258" w:type="dxa"/>
                <w:shd w:val="clear" w:color="auto" w:fill="D9D9D9"/>
                <w:vAlign w:val="center"/>
              </w:tcPr>
              <w:p w14:paraId="0174A32F" w14:textId="77777777" w:rsidR="009919AC" w:rsidRPr="000D4A19" w:rsidRDefault="009919AC" w:rsidP="004B7CAB">
                <w:pPr>
                  <w:tabs>
                    <w:tab w:val="left" w:pos="709"/>
                  </w:tabs>
                  <w:jc w:val="center"/>
                  <w:rPr>
                    <w:rFonts w:cstheme="minorHAnsi"/>
                    <w:b/>
                    <w:sz w:val="20"/>
                    <w:szCs w:val="20"/>
                    <w:lang w:val="en-GB"/>
                  </w:rPr>
                </w:pPr>
                <w:r w:rsidRPr="000D4A19">
                  <w:rPr>
                    <w:rFonts w:cstheme="minorHAnsi"/>
                    <w:b/>
                    <w:sz w:val="20"/>
                    <w:szCs w:val="20"/>
                    <w:lang w:val="en-GB"/>
                  </w:rPr>
                  <w:t>Female %</w:t>
                </w:r>
              </w:p>
            </w:tc>
          </w:tr>
          <w:tr w:rsidR="009919AC" w:rsidRPr="000D4A19" w14:paraId="40399478" w14:textId="77777777" w:rsidTr="009919AC">
            <w:tc>
              <w:tcPr>
                <w:tcW w:w="2718" w:type="dxa"/>
                <w:shd w:val="clear" w:color="auto" w:fill="D9D9D9"/>
                <w:vAlign w:val="center"/>
              </w:tcPr>
              <w:p w14:paraId="3D787361" w14:textId="77777777" w:rsidR="009919AC" w:rsidRPr="000D4A19" w:rsidRDefault="009919AC" w:rsidP="004B7CAB">
                <w:pPr>
                  <w:tabs>
                    <w:tab w:val="left" w:pos="709"/>
                  </w:tabs>
                  <w:rPr>
                    <w:rFonts w:cstheme="minorHAnsi"/>
                    <w:b/>
                    <w:sz w:val="20"/>
                    <w:szCs w:val="20"/>
                    <w:lang w:val="en-GB"/>
                  </w:rPr>
                </w:pPr>
                <w:r w:rsidRPr="000D4A19">
                  <w:rPr>
                    <w:rFonts w:cstheme="minorHAnsi"/>
                    <w:b/>
                    <w:sz w:val="20"/>
                    <w:szCs w:val="20"/>
                    <w:lang w:val="en-GB"/>
                  </w:rPr>
                  <w:t>Police</w:t>
                </w:r>
              </w:p>
            </w:tc>
            <w:tc>
              <w:tcPr>
                <w:tcW w:w="1260" w:type="dxa"/>
                <w:vAlign w:val="center"/>
              </w:tcPr>
              <w:p w14:paraId="50EF24AF" w14:textId="40EA375E" w:rsidR="009919AC" w:rsidRPr="000D4A19" w:rsidRDefault="009919AC" w:rsidP="004B7CAB">
                <w:pPr>
                  <w:tabs>
                    <w:tab w:val="left" w:pos="709"/>
                  </w:tabs>
                  <w:jc w:val="right"/>
                  <w:rPr>
                    <w:rFonts w:cstheme="minorHAnsi"/>
                    <w:sz w:val="20"/>
                    <w:szCs w:val="20"/>
                    <w:lang w:val="en-GB"/>
                  </w:rPr>
                </w:pPr>
                <w:r w:rsidRPr="000D4A19">
                  <w:rPr>
                    <w:rFonts w:cstheme="minorHAnsi"/>
                    <w:sz w:val="20"/>
                    <w:szCs w:val="20"/>
                    <w:lang w:val="en-GB"/>
                  </w:rPr>
                  <w:t>24</w:t>
                </w:r>
                <w:r w:rsidR="007E2009" w:rsidRPr="000D4A19">
                  <w:rPr>
                    <w:rFonts w:cstheme="minorHAnsi"/>
                    <w:sz w:val="20"/>
                    <w:szCs w:val="20"/>
                    <w:lang w:val="en-GB"/>
                  </w:rPr>
                  <w:t xml:space="preserve"> </w:t>
                </w:r>
                <w:r w:rsidRPr="000D4A19">
                  <w:rPr>
                    <w:rFonts w:cstheme="minorHAnsi"/>
                    <w:sz w:val="20"/>
                    <w:szCs w:val="20"/>
                    <w:lang w:val="en-GB"/>
                  </w:rPr>
                  <w:t>980</w:t>
                </w:r>
              </w:p>
            </w:tc>
            <w:tc>
              <w:tcPr>
                <w:tcW w:w="1350" w:type="dxa"/>
                <w:vAlign w:val="center"/>
              </w:tcPr>
              <w:p w14:paraId="015F1C41" w14:textId="7F0E9589" w:rsidR="009919AC" w:rsidRPr="000D4A19" w:rsidRDefault="009919AC" w:rsidP="004B7CAB">
                <w:pPr>
                  <w:tabs>
                    <w:tab w:val="left" w:pos="709"/>
                  </w:tabs>
                  <w:jc w:val="right"/>
                  <w:rPr>
                    <w:rFonts w:cstheme="minorHAnsi"/>
                    <w:sz w:val="20"/>
                    <w:szCs w:val="20"/>
                    <w:lang w:val="en-GB"/>
                  </w:rPr>
                </w:pPr>
                <w:r w:rsidRPr="000D4A19">
                  <w:rPr>
                    <w:rFonts w:cstheme="minorHAnsi"/>
                    <w:sz w:val="20"/>
                    <w:szCs w:val="20"/>
                    <w:lang w:val="en-GB"/>
                  </w:rPr>
                  <w:t>17</w:t>
                </w:r>
                <w:r w:rsidR="007E2009" w:rsidRPr="000D4A19">
                  <w:rPr>
                    <w:rFonts w:cstheme="minorHAnsi"/>
                    <w:sz w:val="20"/>
                    <w:szCs w:val="20"/>
                    <w:lang w:val="en-GB"/>
                  </w:rPr>
                  <w:t xml:space="preserve"> </w:t>
                </w:r>
                <w:r w:rsidRPr="000D4A19">
                  <w:rPr>
                    <w:rFonts w:cstheme="minorHAnsi"/>
                    <w:sz w:val="20"/>
                    <w:szCs w:val="20"/>
                    <w:lang w:val="en-GB"/>
                  </w:rPr>
                  <w:t>520</w:t>
                </w:r>
              </w:p>
            </w:tc>
            <w:tc>
              <w:tcPr>
                <w:tcW w:w="1620" w:type="dxa"/>
                <w:vAlign w:val="center"/>
              </w:tcPr>
              <w:p w14:paraId="38CB9273" w14:textId="77777777" w:rsidR="009919AC" w:rsidRPr="000D4A19" w:rsidRDefault="009919AC" w:rsidP="004B7CAB">
                <w:pPr>
                  <w:tabs>
                    <w:tab w:val="left" w:pos="709"/>
                  </w:tabs>
                  <w:jc w:val="center"/>
                  <w:rPr>
                    <w:rFonts w:cstheme="minorHAnsi"/>
                    <w:sz w:val="20"/>
                    <w:szCs w:val="20"/>
                    <w:lang w:val="en-GB"/>
                  </w:rPr>
                </w:pPr>
                <w:r w:rsidRPr="000D4A19">
                  <w:rPr>
                    <w:rFonts w:cstheme="minorHAnsi"/>
                    <w:sz w:val="20"/>
                    <w:szCs w:val="20"/>
                    <w:lang w:val="en-GB"/>
                  </w:rPr>
                  <w:t>70.1%</w:t>
                </w:r>
              </w:p>
            </w:tc>
            <w:tc>
              <w:tcPr>
                <w:tcW w:w="1080" w:type="dxa"/>
                <w:vAlign w:val="center"/>
              </w:tcPr>
              <w:p w14:paraId="74BE1F64" w14:textId="20545C00" w:rsidR="009919AC" w:rsidRPr="000D4A19" w:rsidRDefault="009919AC" w:rsidP="004B7CAB">
                <w:pPr>
                  <w:tabs>
                    <w:tab w:val="left" w:pos="709"/>
                  </w:tabs>
                  <w:jc w:val="right"/>
                  <w:rPr>
                    <w:rFonts w:cstheme="minorHAnsi"/>
                    <w:sz w:val="20"/>
                    <w:szCs w:val="20"/>
                    <w:lang w:val="en-GB"/>
                  </w:rPr>
                </w:pPr>
                <w:r w:rsidRPr="000D4A19">
                  <w:rPr>
                    <w:rFonts w:cstheme="minorHAnsi"/>
                    <w:sz w:val="20"/>
                    <w:szCs w:val="20"/>
                    <w:lang w:val="en-GB"/>
                  </w:rPr>
                  <w:t>7</w:t>
                </w:r>
                <w:r w:rsidR="007E2009" w:rsidRPr="000D4A19">
                  <w:rPr>
                    <w:rFonts w:cstheme="minorHAnsi"/>
                    <w:sz w:val="20"/>
                    <w:szCs w:val="20"/>
                    <w:lang w:val="en-GB"/>
                  </w:rPr>
                  <w:t xml:space="preserve"> </w:t>
                </w:r>
                <w:r w:rsidRPr="000D4A19">
                  <w:rPr>
                    <w:rFonts w:cstheme="minorHAnsi"/>
                    <w:sz w:val="20"/>
                    <w:szCs w:val="20"/>
                    <w:lang w:val="en-GB"/>
                  </w:rPr>
                  <w:t>460</w:t>
                </w:r>
              </w:p>
            </w:tc>
            <w:tc>
              <w:tcPr>
                <w:tcW w:w="1258" w:type="dxa"/>
                <w:vAlign w:val="center"/>
              </w:tcPr>
              <w:p w14:paraId="3CC72DEC" w14:textId="77777777" w:rsidR="009919AC" w:rsidRPr="000D4A19" w:rsidRDefault="009919AC" w:rsidP="004B7CAB">
                <w:pPr>
                  <w:tabs>
                    <w:tab w:val="left" w:pos="709"/>
                  </w:tabs>
                  <w:jc w:val="center"/>
                  <w:rPr>
                    <w:rFonts w:cstheme="minorHAnsi"/>
                    <w:sz w:val="20"/>
                    <w:szCs w:val="20"/>
                    <w:lang w:val="en-GB"/>
                  </w:rPr>
                </w:pPr>
                <w:r w:rsidRPr="000D4A19">
                  <w:rPr>
                    <w:rFonts w:cstheme="minorHAnsi"/>
                    <w:sz w:val="20"/>
                    <w:szCs w:val="20"/>
                    <w:lang w:val="en-GB"/>
                  </w:rPr>
                  <w:t>29.9%</w:t>
                </w:r>
              </w:p>
            </w:tc>
          </w:tr>
          <w:tr w:rsidR="009919AC" w:rsidRPr="000D4A19" w14:paraId="7C965DD5" w14:textId="77777777" w:rsidTr="009919AC">
            <w:tc>
              <w:tcPr>
                <w:tcW w:w="2718" w:type="dxa"/>
                <w:shd w:val="clear" w:color="auto" w:fill="D9D9D9"/>
                <w:vAlign w:val="center"/>
              </w:tcPr>
              <w:p w14:paraId="7C01A259" w14:textId="55E4267E" w:rsidR="009919AC" w:rsidRPr="000D4A19" w:rsidRDefault="009919AC" w:rsidP="004B7CAB">
                <w:pPr>
                  <w:tabs>
                    <w:tab w:val="left" w:pos="709"/>
                  </w:tabs>
                  <w:rPr>
                    <w:rFonts w:cstheme="minorHAnsi"/>
                    <w:i/>
                    <w:sz w:val="20"/>
                    <w:szCs w:val="20"/>
                    <w:lang w:val="en-GB"/>
                  </w:rPr>
                </w:pPr>
                <w:r w:rsidRPr="000D4A19">
                  <w:rPr>
                    <w:rFonts w:cstheme="minorHAnsi"/>
                    <w:i/>
                    <w:sz w:val="20"/>
                    <w:szCs w:val="20"/>
                    <w:lang w:val="en-GB"/>
                  </w:rPr>
                  <w:t>Police officers</w:t>
                </w:r>
              </w:p>
            </w:tc>
            <w:tc>
              <w:tcPr>
                <w:tcW w:w="1260" w:type="dxa"/>
                <w:vAlign w:val="center"/>
              </w:tcPr>
              <w:p w14:paraId="65BE199B" w14:textId="745AE0CB" w:rsidR="009919AC" w:rsidRPr="000D4A19" w:rsidRDefault="009919AC" w:rsidP="004B7CAB">
                <w:pPr>
                  <w:tabs>
                    <w:tab w:val="left" w:pos="709"/>
                  </w:tabs>
                  <w:jc w:val="right"/>
                  <w:rPr>
                    <w:rFonts w:cstheme="minorHAnsi"/>
                    <w:sz w:val="20"/>
                    <w:szCs w:val="20"/>
                    <w:lang w:val="en-GB"/>
                  </w:rPr>
                </w:pPr>
                <w:r w:rsidRPr="000D4A19">
                  <w:rPr>
                    <w:rFonts w:cstheme="minorHAnsi"/>
                    <w:sz w:val="20"/>
                    <w:szCs w:val="20"/>
                    <w:lang w:val="en-GB"/>
                  </w:rPr>
                  <w:t>20</w:t>
                </w:r>
                <w:r w:rsidR="007E2009" w:rsidRPr="000D4A19">
                  <w:rPr>
                    <w:rFonts w:cstheme="minorHAnsi"/>
                    <w:sz w:val="20"/>
                    <w:szCs w:val="20"/>
                    <w:lang w:val="en-GB"/>
                  </w:rPr>
                  <w:t xml:space="preserve"> </w:t>
                </w:r>
                <w:r w:rsidRPr="000D4A19">
                  <w:rPr>
                    <w:rFonts w:cstheme="minorHAnsi"/>
                    <w:sz w:val="20"/>
                    <w:szCs w:val="20"/>
                    <w:lang w:val="en-GB"/>
                  </w:rPr>
                  <w:t>270</w:t>
                </w:r>
              </w:p>
            </w:tc>
            <w:tc>
              <w:tcPr>
                <w:tcW w:w="1350" w:type="dxa"/>
                <w:vAlign w:val="center"/>
              </w:tcPr>
              <w:p w14:paraId="48E93117" w14:textId="6D8B9EB4" w:rsidR="009919AC" w:rsidRPr="000D4A19" w:rsidRDefault="009919AC" w:rsidP="004B7CAB">
                <w:pPr>
                  <w:tabs>
                    <w:tab w:val="left" w:pos="709"/>
                  </w:tabs>
                  <w:jc w:val="right"/>
                  <w:rPr>
                    <w:rFonts w:cstheme="minorHAnsi"/>
                    <w:sz w:val="20"/>
                    <w:szCs w:val="20"/>
                    <w:lang w:val="en-GB"/>
                  </w:rPr>
                </w:pPr>
                <w:r w:rsidRPr="000D4A19">
                  <w:rPr>
                    <w:rFonts w:cstheme="minorHAnsi"/>
                    <w:sz w:val="20"/>
                    <w:szCs w:val="20"/>
                    <w:lang w:val="en-GB"/>
                  </w:rPr>
                  <w:t>16</w:t>
                </w:r>
                <w:r w:rsidR="007E2009" w:rsidRPr="000D4A19">
                  <w:rPr>
                    <w:rFonts w:cstheme="minorHAnsi"/>
                    <w:sz w:val="20"/>
                    <w:szCs w:val="20"/>
                    <w:lang w:val="en-GB"/>
                  </w:rPr>
                  <w:t xml:space="preserve"> </w:t>
                </w:r>
                <w:r w:rsidRPr="000D4A19">
                  <w:rPr>
                    <w:rFonts w:cstheme="minorHAnsi"/>
                    <w:sz w:val="20"/>
                    <w:szCs w:val="20"/>
                    <w:lang w:val="en-GB"/>
                  </w:rPr>
                  <w:t>560</w:t>
                </w:r>
              </w:p>
            </w:tc>
            <w:tc>
              <w:tcPr>
                <w:tcW w:w="1620" w:type="dxa"/>
                <w:vAlign w:val="center"/>
              </w:tcPr>
              <w:p w14:paraId="350D1AC5" w14:textId="77777777" w:rsidR="009919AC" w:rsidRPr="000D4A19" w:rsidRDefault="009919AC" w:rsidP="004B7CAB">
                <w:pPr>
                  <w:tabs>
                    <w:tab w:val="left" w:pos="709"/>
                  </w:tabs>
                  <w:jc w:val="center"/>
                  <w:rPr>
                    <w:rFonts w:cstheme="minorHAnsi"/>
                    <w:sz w:val="20"/>
                    <w:szCs w:val="20"/>
                    <w:lang w:val="en-GB"/>
                  </w:rPr>
                </w:pPr>
                <w:r w:rsidRPr="000D4A19">
                  <w:rPr>
                    <w:rFonts w:cstheme="minorHAnsi"/>
                    <w:sz w:val="20"/>
                    <w:szCs w:val="20"/>
                    <w:lang w:val="en-GB"/>
                  </w:rPr>
                  <w:t>81.7%</w:t>
                </w:r>
              </w:p>
            </w:tc>
            <w:tc>
              <w:tcPr>
                <w:tcW w:w="1080" w:type="dxa"/>
                <w:vAlign w:val="center"/>
              </w:tcPr>
              <w:p w14:paraId="52C8C21F" w14:textId="5F5A222C" w:rsidR="009919AC" w:rsidRPr="000D4A19" w:rsidRDefault="009919AC" w:rsidP="004B7CAB">
                <w:pPr>
                  <w:tabs>
                    <w:tab w:val="left" w:pos="709"/>
                  </w:tabs>
                  <w:jc w:val="right"/>
                  <w:rPr>
                    <w:rFonts w:cstheme="minorHAnsi"/>
                    <w:sz w:val="20"/>
                    <w:szCs w:val="20"/>
                    <w:lang w:val="en-GB"/>
                  </w:rPr>
                </w:pPr>
                <w:r w:rsidRPr="000D4A19">
                  <w:rPr>
                    <w:rFonts w:cstheme="minorHAnsi"/>
                    <w:sz w:val="20"/>
                    <w:szCs w:val="20"/>
                    <w:lang w:val="en-GB"/>
                  </w:rPr>
                  <w:t>3</w:t>
                </w:r>
                <w:r w:rsidR="007E2009" w:rsidRPr="000D4A19">
                  <w:rPr>
                    <w:rFonts w:cstheme="minorHAnsi"/>
                    <w:sz w:val="20"/>
                    <w:szCs w:val="20"/>
                    <w:lang w:val="en-GB"/>
                  </w:rPr>
                  <w:t xml:space="preserve"> </w:t>
                </w:r>
                <w:r w:rsidRPr="000D4A19">
                  <w:rPr>
                    <w:rFonts w:cstheme="minorHAnsi"/>
                    <w:sz w:val="20"/>
                    <w:szCs w:val="20"/>
                    <w:lang w:val="en-GB"/>
                  </w:rPr>
                  <w:t>710</w:t>
                </w:r>
              </w:p>
            </w:tc>
            <w:tc>
              <w:tcPr>
                <w:tcW w:w="1258" w:type="dxa"/>
                <w:vAlign w:val="center"/>
              </w:tcPr>
              <w:p w14:paraId="7ACBEED5" w14:textId="77777777" w:rsidR="009919AC" w:rsidRPr="000D4A19" w:rsidRDefault="009919AC" w:rsidP="004B7CAB">
                <w:pPr>
                  <w:tabs>
                    <w:tab w:val="left" w:pos="709"/>
                  </w:tabs>
                  <w:jc w:val="center"/>
                  <w:rPr>
                    <w:rFonts w:cstheme="minorHAnsi"/>
                    <w:sz w:val="20"/>
                    <w:szCs w:val="20"/>
                    <w:lang w:val="en-GB"/>
                  </w:rPr>
                </w:pPr>
                <w:r w:rsidRPr="000D4A19">
                  <w:rPr>
                    <w:rFonts w:cstheme="minorHAnsi"/>
                    <w:sz w:val="20"/>
                    <w:szCs w:val="20"/>
                    <w:lang w:val="en-GB"/>
                  </w:rPr>
                  <w:t>18.3%</w:t>
                </w:r>
              </w:p>
            </w:tc>
          </w:tr>
          <w:tr w:rsidR="009919AC" w:rsidRPr="000D4A19" w14:paraId="2A97B04C" w14:textId="77777777" w:rsidTr="009919AC">
            <w:tc>
              <w:tcPr>
                <w:tcW w:w="2718" w:type="dxa"/>
                <w:shd w:val="clear" w:color="auto" w:fill="D9D9D9"/>
                <w:vAlign w:val="center"/>
              </w:tcPr>
              <w:p w14:paraId="2F9AA958" w14:textId="74F55878" w:rsidR="009919AC" w:rsidRPr="000D4A19" w:rsidRDefault="009919AC" w:rsidP="004B7CAB">
                <w:pPr>
                  <w:tabs>
                    <w:tab w:val="left" w:pos="709"/>
                  </w:tabs>
                  <w:rPr>
                    <w:rFonts w:cstheme="minorHAnsi"/>
                    <w:i/>
                    <w:sz w:val="20"/>
                    <w:szCs w:val="20"/>
                    <w:lang w:val="en-GB"/>
                  </w:rPr>
                </w:pPr>
                <w:r w:rsidRPr="000D4A19">
                  <w:rPr>
                    <w:rFonts w:cstheme="minorHAnsi"/>
                    <w:i/>
                    <w:sz w:val="20"/>
                    <w:szCs w:val="20"/>
                    <w:lang w:val="en-GB"/>
                  </w:rPr>
                  <w:t>Civil servants and employees</w:t>
                </w:r>
              </w:p>
            </w:tc>
            <w:tc>
              <w:tcPr>
                <w:tcW w:w="1260" w:type="dxa"/>
                <w:vAlign w:val="center"/>
              </w:tcPr>
              <w:p w14:paraId="5B5F5D46" w14:textId="5D6ECF2B" w:rsidR="009919AC" w:rsidRPr="000D4A19" w:rsidRDefault="009919AC" w:rsidP="004B7CAB">
                <w:pPr>
                  <w:tabs>
                    <w:tab w:val="left" w:pos="709"/>
                  </w:tabs>
                  <w:jc w:val="right"/>
                  <w:rPr>
                    <w:rFonts w:cstheme="minorHAnsi"/>
                    <w:sz w:val="20"/>
                    <w:szCs w:val="20"/>
                    <w:lang w:val="en-GB"/>
                  </w:rPr>
                </w:pPr>
                <w:r w:rsidRPr="000D4A19">
                  <w:rPr>
                    <w:rFonts w:cstheme="minorHAnsi"/>
                    <w:sz w:val="20"/>
                    <w:szCs w:val="20"/>
                    <w:lang w:val="en-GB"/>
                  </w:rPr>
                  <w:t>4</w:t>
                </w:r>
                <w:r w:rsidR="007E2009" w:rsidRPr="000D4A19">
                  <w:rPr>
                    <w:rFonts w:cstheme="minorHAnsi"/>
                    <w:sz w:val="20"/>
                    <w:szCs w:val="20"/>
                    <w:lang w:val="en-GB"/>
                  </w:rPr>
                  <w:t xml:space="preserve"> </w:t>
                </w:r>
                <w:r w:rsidRPr="000D4A19">
                  <w:rPr>
                    <w:rFonts w:cstheme="minorHAnsi"/>
                    <w:sz w:val="20"/>
                    <w:szCs w:val="20"/>
                    <w:lang w:val="en-GB"/>
                  </w:rPr>
                  <w:t>710</w:t>
                </w:r>
              </w:p>
            </w:tc>
            <w:tc>
              <w:tcPr>
                <w:tcW w:w="1350" w:type="dxa"/>
                <w:vAlign w:val="center"/>
              </w:tcPr>
              <w:p w14:paraId="748A2B21" w14:textId="77777777" w:rsidR="009919AC" w:rsidRPr="000D4A19" w:rsidRDefault="009919AC" w:rsidP="004B7CAB">
                <w:pPr>
                  <w:tabs>
                    <w:tab w:val="left" w:pos="709"/>
                  </w:tabs>
                  <w:jc w:val="right"/>
                  <w:rPr>
                    <w:rFonts w:cstheme="minorHAnsi"/>
                    <w:sz w:val="20"/>
                    <w:szCs w:val="20"/>
                    <w:lang w:val="en-GB"/>
                  </w:rPr>
                </w:pPr>
                <w:r w:rsidRPr="000D4A19">
                  <w:rPr>
                    <w:rFonts w:cstheme="minorHAnsi"/>
                    <w:sz w:val="20"/>
                    <w:szCs w:val="20"/>
                    <w:lang w:val="en-GB"/>
                  </w:rPr>
                  <w:t>960</w:t>
                </w:r>
              </w:p>
            </w:tc>
            <w:tc>
              <w:tcPr>
                <w:tcW w:w="1620" w:type="dxa"/>
                <w:vAlign w:val="center"/>
              </w:tcPr>
              <w:p w14:paraId="73A595FC" w14:textId="77777777" w:rsidR="009919AC" w:rsidRPr="000D4A19" w:rsidRDefault="009919AC" w:rsidP="004B7CAB">
                <w:pPr>
                  <w:tabs>
                    <w:tab w:val="left" w:pos="709"/>
                  </w:tabs>
                  <w:jc w:val="center"/>
                  <w:rPr>
                    <w:rFonts w:cstheme="minorHAnsi"/>
                    <w:sz w:val="20"/>
                    <w:szCs w:val="20"/>
                    <w:lang w:val="en-GB"/>
                  </w:rPr>
                </w:pPr>
                <w:r w:rsidRPr="000D4A19">
                  <w:rPr>
                    <w:rFonts w:cstheme="minorHAnsi"/>
                    <w:sz w:val="20"/>
                    <w:szCs w:val="20"/>
                    <w:lang w:val="en-GB"/>
                  </w:rPr>
                  <w:t>20.4%</w:t>
                </w:r>
              </w:p>
            </w:tc>
            <w:tc>
              <w:tcPr>
                <w:tcW w:w="1080" w:type="dxa"/>
                <w:vAlign w:val="center"/>
              </w:tcPr>
              <w:p w14:paraId="3277CE46" w14:textId="1FDDD857" w:rsidR="009919AC" w:rsidRPr="000D4A19" w:rsidRDefault="009919AC" w:rsidP="004B7CAB">
                <w:pPr>
                  <w:tabs>
                    <w:tab w:val="left" w:pos="709"/>
                  </w:tabs>
                  <w:jc w:val="right"/>
                  <w:rPr>
                    <w:rFonts w:cstheme="minorHAnsi"/>
                    <w:sz w:val="20"/>
                    <w:szCs w:val="20"/>
                    <w:lang w:val="en-GB"/>
                  </w:rPr>
                </w:pPr>
                <w:r w:rsidRPr="000D4A19">
                  <w:rPr>
                    <w:rFonts w:cstheme="minorHAnsi"/>
                    <w:sz w:val="20"/>
                    <w:szCs w:val="20"/>
                    <w:lang w:val="en-GB"/>
                  </w:rPr>
                  <w:t>3</w:t>
                </w:r>
                <w:r w:rsidR="007E2009" w:rsidRPr="000D4A19">
                  <w:rPr>
                    <w:rFonts w:cstheme="minorHAnsi"/>
                    <w:sz w:val="20"/>
                    <w:szCs w:val="20"/>
                    <w:lang w:val="en-GB"/>
                  </w:rPr>
                  <w:t xml:space="preserve"> </w:t>
                </w:r>
                <w:r w:rsidRPr="000D4A19">
                  <w:rPr>
                    <w:rFonts w:cstheme="minorHAnsi"/>
                    <w:sz w:val="20"/>
                    <w:szCs w:val="20"/>
                    <w:lang w:val="en-GB"/>
                  </w:rPr>
                  <w:t>750</w:t>
                </w:r>
              </w:p>
            </w:tc>
            <w:tc>
              <w:tcPr>
                <w:tcW w:w="1258" w:type="dxa"/>
                <w:vAlign w:val="center"/>
              </w:tcPr>
              <w:p w14:paraId="3931124C" w14:textId="77777777" w:rsidR="009919AC" w:rsidRPr="000D4A19" w:rsidRDefault="009919AC" w:rsidP="004B7CAB">
                <w:pPr>
                  <w:tabs>
                    <w:tab w:val="left" w:pos="709"/>
                  </w:tabs>
                  <w:jc w:val="center"/>
                  <w:rPr>
                    <w:rFonts w:cstheme="minorHAnsi"/>
                    <w:sz w:val="20"/>
                    <w:szCs w:val="20"/>
                    <w:lang w:val="en-GB"/>
                  </w:rPr>
                </w:pPr>
                <w:r w:rsidRPr="000D4A19">
                  <w:rPr>
                    <w:rFonts w:cstheme="minorHAnsi"/>
                    <w:sz w:val="20"/>
                    <w:szCs w:val="20"/>
                    <w:lang w:val="en-GB"/>
                  </w:rPr>
                  <w:t>79.6%</w:t>
                </w:r>
              </w:p>
            </w:tc>
          </w:tr>
        </w:tbl>
        <w:p w14:paraId="1853206A" w14:textId="77777777" w:rsidR="009919AC" w:rsidRPr="000D4A19" w:rsidRDefault="009919AC" w:rsidP="004B7CAB">
          <w:pPr>
            <w:spacing w:after="0" w:line="240" w:lineRule="auto"/>
            <w:jc w:val="both"/>
            <w:rPr>
              <w:rFonts w:cstheme="minorHAnsi"/>
              <w:sz w:val="24"/>
              <w:szCs w:val="24"/>
              <w:lang w:val="en-GB"/>
            </w:rPr>
          </w:pPr>
        </w:p>
        <w:p w14:paraId="480F3CF4" w14:textId="79AD025D"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134" w:name="_Toc4762875"/>
          <w:bookmarkStart w:id="135" w:name="_Toc25229320"/>
          <w:bookmarkStart w:id="136" w:name="_Toc484088337"/>
          <w:r w:rsidRPr="000D4A19">
            <w:rPr>
              <w:rFonts w:asciiTheme="minorHAnsi" w:hAnsiTheme="minorHAnsi"/>
              <w:b w:val="0"/>
              <w:i/>
              <w:color w:val="auto"/>
              <w:sz w:val="24"/>
              <w:szCs w:val="24"/>
              <w:lang w:val="en-GB"/>
            </w:rPr>
            <w:t>Access to information</w:t>
          </w:r>
          <w:bookmarkEnd w:id="134"/>
          <w:bookmarkEnd w:id="135"/>
          <w:r w:rsidR="00503955" w:rsidRPr="000D4A19">
            <w:rPr>
              <w:rFonts w:asciiTheme="minorHAnsi" w:hAnsiTheme="minorHAnsi"/>
              <w:b w:val="0"/>
              <w:i/>
              <w:color w:val="auto"/>
              <w:sz w:val="24"/>
              <w:szCs w:val="24"/>
              <w:lang w:val="en-GB"/>
            </w:rPr>
            <w:t xml:space="preserve"> </w:t>
          </w:r>
        </w:p>
        <w:p w14:paraId="0BA22A32" w14:textId="77777777" w:rsidR="009919AC" w:rsidRPr="000D4A19" w:rsidRDefault="009919AC" w:rsidP="004B7CAB">
          <w:pPr>
            <w:spacing w:after="0" w:line="240" w:lineRule="auto"/>
            <w:jc w:val="both"/>
            <w:rPr>
              <w:rFonts w:cstheme="minorHAnsi"/>
              <w:sz w:val="24"/>
              <w:szCs w:val="24"/>
              <w:lang w:val="en-GB"/>
            </w:rPr>
          </w:pPr>
        </w:p>
        <w:bookmarkEnd w:id="136"/>
        <w:p w14:paraId="67397390" w14:textId="2B245917"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ascii="Calibri" w:eastAsiaTheme="majorEastAsia" w:hAnsi="Calibri" w:cstheme="majorBidi"/>
              <w:bCs/>
              <w:sz w:val="24"/>
              <w:szCs w:val="24"/>
              <w:lang w:val="en-GB"/>
            </w:rPr>
          </w:pPr>
          <w:r w:rsidRPr="000D4A19">
            <w:rPr>
              <w:rFonts w:ascii="Calibri" w:eastAsiaTheme="majorEastAsia" w:hAnsi="Calibri" w:cstheme="majorBidi"/>
              <w:bCs/>
              <w:sz w:val="24"/>
              <w:szCs w:val="24"/>
              <w:lang w:val="en-GB"/>
            </w:rPr>
            <w:t>The police, as any other public administration body, fall</w:t>
          </w:r>
          <w:r w:rsidR="00175E0E" w:rsidRPr="000D4A19">
            <w:rPr>
              <w:rFonts w:ascii="Calibri" w:eastAsiaTheme="majorEastAsia" w:hAnsi="Calibri" w:cstheme="majorBidi"/>
              <w:bCs/>
              <w:sz w:val="24"/>
              <w:szCs w:val="24"/>
              <w:lang w:val="en-GB"/>
            </w:rPr>
            <w:t>s</w:t>
          </w:r>
          <w:r w:rsidRPr="000D4A19">
            <w:rPr>
              <w:rFonts w:ascii="Calibri" w:eastAsiaTheme="majorEastAsia" w:hAnsi="Calibri" w:cstheme="majorBidi"/>
              <w:bCs/>
              <w:sz w:val="24"/>
              <w:szCs w:val="24"/>
              <w:lang w:val="en-GB"/>
            </w:rPr>
            <w:t xml:space="preserve"> under the Act on t</w:t>
          </w:r>
          <w:r w:rsidR="0061040A" w:rsidRPr="000D4A19">
            <w:rPr>
              <w:rFonts w:ascii="Calibri" w:eastAsiaTheme="majorEastAsia" w:hAnsi="Calibri" w:cstheme="majorBidi"/>
              <w:bCs/>
              <w:sz w:val="24"/>
              <w:szCs w:val="24"/>
              <w:lang w:val="en-GB"/>
            </w:rPr>
            <w:t xml:space="preserve">he Right </w:t>
          </w:r>
          <w:r w:rsidR="00175E0E" w:rsidRPr="000D4A19">
            <w:rPr>
              <w:rFonts w:ascii="Calibri" w:eastAsiaTheme="majorEastAsia" w:hAnsi="Calibri" w:cstheme="majorBidi"/>
              <w:bCs/>
              <w:sz w:val="24"/>
              <w:szCs w:val="24"/>
              <w:lang w:val="en-GB"/>
            </w:rPr>
            <w:t xml:space="preserve">of </w:t>
          </w:r>
          <w:r w:rsidR="0061040A" w:rsidRPr="000D4A19">
            <w:rPr>
              <w:rFonts w:ascii="Calibri" w:eastAsiaTheme="majorEastAsia" w:hAnsi="Calibri" w:cstheme="majorBidi"/>
              <w:bCs/>
              <w:sz w:val="24"/>
              <w:szCs w:val="24"/>
              <w:lang w:val="en-GB"/>
            </w:rPr>
            <w:t>Access to Information</w:t>
          </w:r>
          <w:r w:rsidR="005F5577" w:rsidRPr="000D4A19">
            <w:rPr>
              <w:rFonts w:ascii="Calibri" w:eastAsiaTheme="majorEastAsia" w:hAnsi="Calibri" w:cstheme="majorBidi"/>
              <w:bCs/>
              <w:sz w:val="24"/>
              <w:szCs w:val="24"/>
              <w:lang w:val="en-GB"/>
            </w:rPr>
            <w:t xml:space="preserve">, prescribing that </w:t>
          </w:r>
          <w:r w:rsidRPr="000D4A19">
            <w:rPr>
              <w:rFonts w:ascii="Calibri" w:eastAsiaTheme="majorEastAsia" w:hAnsi="Calibri" w:cstheme="majorBidi"/>
              <w:bCs/>
              <w:sz w:val="24"/>
              <w:szCs w:val="24"/>
              <w:lang w:val="en-GB"/>
            </w:rPr>
            <w:t xml:space="preserve">every natural and legal person </w:t>
          </w:r>
          <w:r w:rsidR="005F5577" w:rsidRPr="000D4A19">
            <w:rPr>
              <w:rFonts w:ascii="Calibri" w:eastAsiaTheme="majorEastAsia" w:hAnsi="Calibri" w:cstheme="majorBidi"/>
              <w:bCs/>
              <w:sz w:val="24"/>
              <w:szCs w:val="24"/>
              <w:lang w:val="en-GB"/>
            </w:rPr>
            <w:t xml:space="preserve">has the right </w:t>
          </w:r>
          <w:r w:rsidRPr="000D4A19">
            <w:rPr>
              <w:rFonts w:ascii="Calibri" w:eastAsiaTheme="majorEastAsia" w:hAnsi="Calibri" w:cstheme="majorBidi"/>
              <w:bCs/>
              <w:sz w:val="24"/>
              <w:szCs w:val="24"/>
              <w:lang w:val="en-GB"/>
            </w:rPr>
            <w:t>to access information by submitting oral and written requests to the competent authority (in this instance, the Ministry of the Interior), as has been guaranteed by the Constitution. The public authority in question can limit access to information in specific cases stipulated by the abovementioned law</w:t>
          </w:r>
          <w:r w:rsidR="0001753C" w:rsidRPr="000D4A19">
            <w:rPr>
              <w:rFonts w:ascii="Calibri" w:eastAsiaTheme="majorEastAsia" w:hAnsi="Calibri" w:cstheme="majorBidi"/>
              <w:bCs/>
              <w:sz w:val="24"/>
              <w:szCs w:val="24"/>
              <w:lang w:val="en-GB"/>
            </w:rPr>
            <w:t>.</w:t>
          </w:r>
          <w:r w:rsidR="0001753C" w:rsidRPr="000D4A19">
            <w:rPr>
              <w:rStyle w:val="Referencafusnote"/>
              <w:rFonts w:ascii="Calibri" w:eastAsiaTheme="majorEastAsia" w:hAnsi="Calibri" w:cstheme="majorBidi"/>
              <w:bCs/>
              <w:sz w:val="24"/>
              <w:szCs w:val="24"/>
              <w:lang w:val="en-GB"/>
            </w:rPr>
            <w:footnoteReference w:id="52"/>
          </w:r>
        </w:p>
        <w:p w14:paraId="39844D9A" w14:textId="77777777" w:rsidR="009919AC" w:rsidRPr="000D4A19" w:rsidRDefault="009919AC" w:rsidP="004B7CAB">
          <w:pPr>
            <w:spacing w:after="0" w:line="240" w:lineRule="auto"/>
            <w:jc w:val="both"/>
            <w:rPr>
              <w:rFonts w:cstheme="minorHAnsi"/>
              <w:sz w:val="24"/>
              <w:szCs w:val="24"/>
              <w:lang w:val="en-GB"/>
            </w:rPr>
          </w:pPr>
        </w:p>
        <w:p w14:paraId="23A1DC39"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137" w:name="_Toc4762876"/>
          <w:bookmarkStart w:id="138" w:name="_Toc25229321"/>
          <w:bookmarkStart w:id="139" w:name="_Toc484088338"/>
          <w:r w:rsidRPr="000D4A19">
            <w:rPr>
              <w:rFonts w:asciiTheme="minorHAnsi" w:hAnsiTheme="minorHAnsi"/>
              <w:b w:val="0"/>
              <w:i/>
              <w:color w:val="auto"/>
              <w:sz w:val="24"/>
              <w:szCs w:val="24"/>
              <w:lang w:val="en-GB"/>
            </w:rPr>
            <w:t>Public trust in law enforcement authorities</w:t>
          </w:r>
          <w:bookmarkEnd w:id="137"/>
          <w:bookmarkEnd w:id="138"/>
        </w:p>
        <w:p w14:paraId="138A30EE" w14:textId="77777777" w:rsidR="009919AC" w:rsidRPr="000D4A19" w:rsidRDefault="009919AC" w:rsidP="004B7CAB">
          <w:pPr>
            <w:spacing w:after="0" w:line="240" w:lineRule="auto"/>
            <w:jc w:val="both"/>
            <w:rPr>
              <w:rFonts w:cstheme="minorHAnsi"/>
              <w:sz w:val="24"/>
              <w:szCs w:val="24"/>
              <w:lang w:val="en-GB"/>
            </w:rPr>
          </w:pPr>
        </w:p>
        <w:bookmarkEnd w:id="139"/>
        <w:p w14:paraId="579E17A3" w14:textId="03F07CC3" w:rsidR="00141F65" w:rsidRPr="000D4A19" w:rsidRDefault="009919AC" w:rsidP="00141F65">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ascii="Calibri" w:hAnsi="Calibri" w:cs="Arial"/>
              <w:sz w:val="24"/>
              <w:szCs w:val="24"/>
              <w:lang w:val="en-GB"/>
            </w:rPr>
            <w:t xml:space="preserve">The 2017 </w:t>
          </w:r>
          <w:hyperlink r:id="rId25" w:history="1">
            <w:r w:rsidRPr="000D4A19">
              <w:rPr>
                <w:rStyle w:val="Hiperveza"/>
                <w:rFonts w:cstheme="minorHAnsi"/>
                <w:color w:val="auto"/>
                <w:sz w:val="24"/>
                <w:szCs w:val="24"/>
                <w:u w:val="none"/>
                <w:lang w:val="en-GB"/>
              </w:rPr>
              <w:t>Eurobarometer on Corruption</w:t>
            </w:r>
          </w:hyperlink>
          <w:r w:rsidRPr="000D4A19">
            <w:rPr>
              <w:rFonts w:cstheme="minorHAnsi"/>
              <w:sz w:val="24"/>
              <w:szCs w:val="24"/>
              <w:lang w:val="en-GB"/>
            </w:rPr>
            <w:t xml:space="preserve"> shows that only 34% of the surveyed would turn to the police to complain about a corruption case (EU average: 60%). The survey also refers to a bigger proportion of Croatian citizens (55%) </w:t>
          </w:r>
          <w:r w:rsidR="00175E0E" w:rsidRPr="000D4A19">
            <w:rPr>
              <w:rFonts w:cstheme="minorHAnsi"/>
              <w:sz w:val="24"/>
              <w:szCs w:val="24"/>
              <w:lang w:val="en-GB"/>
            </w:rPr>
            <w:t xml:space="preserve">than EU average (31%) who think </w:t>
          </w:r>
          <w:r w:rsidRPr="000D4A19">
            <w:rPr>
              <w:rFonts w:cstheme="minorHAnsi"/>
              <w:sz w:val="24"/>
              <w:szCs w:val="24"/>
              <w:lang w:val="en-GB"/>
            </w:rPr>
            <w:t>that bribery and the abuse of power are widespread in police/customs.</w:t>
          </w:r>
          <w:r w:rsidRPr="000D4A19">
            <w:rPr>
              <w:rStyle w:val="Referencafusnote"/>
              <w:rFonts w:cstheme="minorHAnsi"/>
              <w:sz w:val="24"/>
              <w:szCs w:val="24"/>
              <w:lang w:val="en-GB"/>
            </w:rPr>
            <w:footnoteReference w:id="53"/>
          </w:r>
          <w:r w:rsidRPr="000D4A19">
            <w:rPr>
              <w:rFonts w:eastAsiaTheme="majorEastAsia" w:cstheme="majorBidi"/>
              <w:bCs/>
              <w:sz w:val="24"/>
              <w:szCs w:val="24"/>
              <w:lang w:val="en-GB"/>
            </w:rPr>
            <w:t xml:space="preserve"> </w:t>
          </w:r>
          <w:r w:rsidR="00C85482" w:rsidRPr="000D4A19">
            <w:rPr>
              <w:rFonts w:eastAsiaTheme="majorEastAsia" w:cstheme="majorBidi"/>
              <w:bCs/>
              <w:sz w:val="24"/>
              <w:szCs w:val="24"/>
              <w:lang w:val="en-GB"/>
            </w:rPr>
            <w:t>In discus</w:t>
          </w:r>
          <w:r w:rsidR="00141F65" w:rsidRPr="000D4A19">
            <w:rPr>
              <w:rFonts w:eastAsiaTheme="majorEastAsia" w:cstheme="majorBidi"/>
              <w:bCs/>
              <w:sz w:val="24"/>
              <w:szCs w:val="24"/>
              <w:lang w:val="en-GB"/>
            </w:rPr>
            <w:t>sing this lack of trust on-site, it was considered to be representative of a general lack of trust in public institutions in Croatia</w:t>
          </w:r>
          <w:r w:rsidR="00167D46" w:rsidRPr="000D4A19">
            <w:rPr>
              <w:rFonts w:eastAsiaTheme="majorEastAsia" w:cstheme="majorBidi"/>
              <w:bCs/>
              <w:sz w:val="24"/>
              <w:szCs w:val="24"/>
              <w:lang w:val="en-GB"/>
            </w:rPr>
            <w:t xml:space="preserve"> and/or an iss</w:t>
          </w:r>
          <w:r w:rsidR="00175E0E" w:rsidRPr="000D4A19">
            <w:rPr>
              <w:rFonts w:eastAsiaTheme="majorEastAsia" w:cstheme="majorBidi"/>
              <w:bCs/>
              <w:sz w:val="24"/>
              <w:szCs w:val="24"/>
              <w:lang w:val="en-GB"/>
            </w:rPr>
            <w:t xml:space="preserve">ue of bad PR of the police. It was emphasised to the GET </w:t>
          </w:r>
          <w:r w:rsidR="00167D46" w:rsidRPr="000D4A19">
            <w:rPr>
              <w:rFonts w:eastAsiaTheme="majorEastAsia" w:cstheme="majorBidi"/>
              <w:bCs/>
              <w:sz w:val="24"/>
              <w:szCs w:val="24"/>
              <w:lang w:val="en-GB"/>
            </w:rPr>
            <w:t xml:space="preserve">that </w:t>
          </w:r>
          <w:r w:rsidR="00FD218E" w:rsidRPr="000D4A19">
            <w:rPr>
              <w:rFonts w:eastAsiaTheme="majorEastAsia" w:cstheme="majorBidi"/>
              <w:bCs/>
              <w:sz w:val="24"/>
              <w:szCs w:val="24"/>
              <w:lang w:val="en-GB"/>
            </w:rPr>
            <w:t xml:space="preserve">this should not lead to the conclusion </w:t>
          </w:r>
          <w:r w:rsidR="00167D46" w:rsidRPr="000D4A19">
            <w:rPr>
              <w:rFonts w:eastAsiaTheme="majorEastAsia" w:cstheme="majorBidi"/>
              <w:bCs/>
              <w:sz w:val="24"/>
              <w:szCs w:val="24"/>
              <w:lang w:val="en-GB"/>
            </w:rPr>
            <w:t xml:space="preserve">that bribery and/or abuse of power were indeed </w:t>
          </w:r>
          <w:r w:rsidR="00175E0E" w:rsidRPr="000D4A19">
            <w:rPr>
              <w:rFonts w:eastAsiaTheme="majorEastAsia" w:cstheme="majorBidi"/>
              <w:bCs/>
              <w:sz w:val="24"/>
              <w:szCs w:val="24"/>
              <w:lang w:val="en-GB"/>
            </w:rPr>
            <w:t>widespread</w:t>
          </w:r>
          <w:r w:rsidR="00167D46" w:rsidRPr="000D4A19">
            <w:rPr>
              <w:rFonts w:eastAsiaTheme="majorEastAsia" w:cstheme="majorBidi"/>
              <w:bCs/>
              <w:sz w:val="24"/>
              <w:szCs w:val="24"/>
              <w:lang w:val="en-GB"/>
            </w:rPr>
            <w:t xml:space="preserve"> in the police</w:t>
          </w:r>
          <w:r w:rsidR="00141F65" w:rsidRPr="000D4A19">
            <w:rPr>
              <w:rFonts w:eastAsiaTheme="majorEastAsia" w:cstheme="majorBidi"/>
              <w:bCs/>
              <w:sz w:val="24"/>
              <w:szCs w:val="24"/>
              <w:lang w:val="en-GB"/>
            </w:rPr>
            <w:t>.</w:t>
          </w:r>
          <w:r w:rsidR="00167D46" w:rsidRPr="000D4A19">
            <w:rPr>
              <w:rFonts w:eastAsiaTheme="majorEastAsia" w:cstheme="majorBidi"/>
              <w:bCs/>
              <w:sz w:val="24"/>
              <w:szCs w:val="24"/>
              <w:lang w:val="en-GB"/>
            </w:rPr>
            <w:t xml:space="preserve"> </w:t>
          </w:r>
          <w:r w:rsidR="00175E0E" w:rsidRPr="000D4A19">
            <w:rPr>
              <w:rFonts w:eastAsiaTheme="majorEastAsia" w:cstheme="majorBidi"/>
              <w:bCs/>
              <w:sz w:val="24"/>
              <w:szCs w:val="24"/>
              <w:lang w:val="en-GB"/>
            </w:rPr>
            <w:t xml:space="preserve">The GET was pointed to </w:t>
          </w:r>
          <w:r w:rsidR="00175E0E" w:rsidRPr="000D4A19">
            <w:rPr>
              <w:rFonts w:cstheme="minorHAnsi"/>
              <w:sz w:val="24"/>
              <w:szCs w:val="24"/>
              <w:lang w:val="en-GB"/>
            </w:rPr>
            <w:t>a</w:t>
          </w:r>
          <w:r w:rsidR="00141F65" w:rsidRPr="000D4A19">
            <w:rPr>
              <w:rFonts w:cstheme="minorHAnsi"/>
              <w:sz w:val="24"/>
              <w:szCs w:val="24"/>
              <w:lang w:val="en-GB"/>
            </w:rPr>
            <w:t xml:space="preserve"> different study, specifically relating to </w:t>
          </w:r>
          <w:r w:rsidR="00A83888" w:rsidRPr="000D4A19">
            <w:rPr>
              <w:rFonts w:cstheme="minorHAnsi"/>
              <w:sz w:val="24"/>
              <w:szCs w:val="24"/>
              <w:lang w:val="en-GB"/>
            </w:rPr>
            <w:t>Croatian youth</w:t>
          </w:r>
          <w:r w:rsidR="00141F65" w:rsidRPr="000D4A19">
            <w:rPr>
              <w:rFonts w:cstheme="minorHAnsi"/>
              <w:sz w:val="24"/>
              <w:szCs w:val="24"/>
              <w:lang w:val="en-GB"/>
            </w:rPr>
            <w:t xml:space="preserve">, indicating that </w:t>
          </w:r>
          <w:r w:rsidR="00A83888" w:rsidRPr="000D4A19">
            <w:rPr>
              <w:rFonts w:cstheme="minorHAnsi"/>
              <w:sz w:val="24"/>
              <w:szCs w:val="24"/>
              <w:lang w:val="en-GB"/>
            </w:rPr>
            <w:t xml:space="preserve">out of all institutions active in </w:t>
          </w:r>
          <w:r w:rsidR="00175E0E" w:rsidRPr="000D4A19">
            <w:rPr>
              <w:rFonts w:cstheme="minorHAnsi"/>
              <w:sz w:val="24"/>
              <w:szCs w:val="24"/>
              <w:lang w:val="en-GB"/>
            </w:rPr>
            <w:t xml:space="preserve">Croatia (including the Church, </w:t>
          </w:r>
          <w:r w:rsidR="00A83888" w:rsidRPr="000D4A19">
            <w:rPr>
              <w:rFonts w:cstheme="minorHAnsi"/>
              <w:sz w:val="24"/>
              <w:szCs w:val="24"/>
              <w:lang w:val="en-GB"/>
            </w:rPr>
            <w:t xml:space="preserve">the EU, IMF and NGOs), </w:t>
          </w:r>
          <w:r w:rsidR="00141F65" w:rsidRPr="000D4A19">
            <w:rPr>
              <w:rFonts w:cstheme="minorHAnsi"/>
              <w:sz w:val="24"/>
              <w:szCs w:val="24"/>
              <w:lang w:val="en-GB"/>
            </w:rPr>
            <w:t>Croatian youth place the highest level of trust in repressive institutions (armed forces and the police), with 41% of respondents trusting the police</w:t>
          </w:r>
          <w:r w:rsidR="00A83888" w:rsidRPr="000D4A19">
            <w:rPr>
              <w:rFonts w:cstheme="minorHAnsi"/>
              <w:sz w:val="24"/>
              <w:szCs w:val="24"/>
              <w:lang w:val="en-GB"/>
            </w:rPr>
            <w:t xml:space="preserve"> </w:t>
          </w:r>
          <w:r w:rsidR="00175E0E" w:rsidRPr="000D4A19">
            <w:rPr>
              <w:rFonts w:cstheme="minorHAnsi"/>
              <w:sz w:val="24"/>
              <w:szCs w:val="24"/>
              <w:lang w:val="en-GB"/>
            </w:rPr>
            <w:t>(</w:t>
          </w:r>
          <w:r w:rsidR="00A83888" w:rsidRPr="000D4A19">
            <w:rPr>
              <w:rFonts w:cstheme="minorHAnsi"/>
              <w:sz w:val="24"/>
              <w:szCs w:val="24"/>
              <w:lang w:val="en-GB"/>
            </w:rPr>
            <w:t>wit</w:t>
          </w:r>
          <w:r w:rsidR="00175E0E" w:rsidRPr="000D4A19">
            <w:rPr>
              <w:rFonts w:cstheme="minorHAnsi"/>
              <w:sz w:val="24"/>
              <w:szCs w:val="24"/>
              <w:lang w:val="en-GB"/>
            </w:rPr>
            <w:t>h the lowest-rated institution, political parties, at nine percent)</w:t>
          </w:r>
          <w:r w:rsidR="00141F65" w:rsidRPr="000D4A19">
            <w:rPr>
              <w:rFonts w:cstheme="minorHAnsi"/>
              <w:sz w:val="24"/>
              <w:szCs w:val="24"/>
              <w:lang w:val="en-GB"/>
            </w:rPr>
            <w:t>.</w:t>
          </w:r>
          <w:r w:rsidR="00141F65" w:rsidRPr="000D4A19">
            <w:rPr>
              <w:rStyle w:val="Referencafusnote"/>
              <w:rFonts w:cstheme="minorHAnsi"/>
              <w:sz w:val="24"/>
              <w:szCs w:val="24"/>
              <w:lang w:val="en-GB"/>
            </w:rPr>
            <w:footnoteReference w:id="54"/>
          </w:r>
          <w:r w:rsidR="00141F65" w:rsidRPr="000D4A19">
            <w:rPr>
              <w:rFonts w:cstheme="minorHAnsi"/>
              <w:sz w:val="24"/>
              <w:szCs w:val="24"/>
              <w:lang w:val="en-GB"/>
            </w:rPr>
            <w:t xml:space="preserve">  </w:t>
          </w:r>
        </w:p>
        <w:p w14:paraId="66FDA340" w14:textId="77777777" w:rsidR="00141F65" w:rsidRPr="000D4A19" w:rsidRDefault="00141F65" w:rsidP="004B7CAB">
          <w:pPr>
            <w:tabs>
              <w:tab w:val="left" w:pos="709"/>
            </w:tabs>
            <w:spacing w:after="0" w:line="240" w:lineRule="auto"/>
            <w:jc w:val="both"/>
            <w:rPr>
              <w:rFonts w:cstheme="minorHAnsi"/>
              <w:sz w:val="24"/>
              <w:szCs w:val="24"/>
              <w:lang w:val="en-GB"/>
            </w:rPr>
          </w:pPr>
        </w:p>
        <w:p w14:paraId="4A65F8C4" w14:textId="29737370"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color w:val="auto"/>
              <w:sz w:val="24"/>
              <w:szCs w:val="24"/>
              <w:lang w:val="en-GB"/>
            </w:rPr>
          </w:pPr>
          <w:bookmarkStart w:id="140" w:name="_Toc4762877"/>
          <w:bookmarkStart w:id="141" w:name="_Toc25229322"/>
          <w:bookmarkStart w:id="142" w:name="_Toc484088339"/>
          <w:r w:rsidRPr="000D4A19">
            <w:rPr>
              <w:rFonts w:asciiTheme="minorHAnsi" w:hAnsiTheme="minorHAnsi"/>
              <w:b w:val="0"/>
              <w:i/>
              <w:color w:val="auto"/>
              <w:sz w:val="24"/>
              <w:szCs w:val="24"/>
              <w:lang w:val="en-GB"/>
            </w:rPr>
            <w:t>Trade unions and professional organisations</w:t>
          </w:r>
          <w:bookmarkEnd w:id="140"/>
          <w:bookmarkEnd w:id="141"/>
          <w:r w:rsidR="00831B3C" w:rsidRPr="000D4A19">
            <w:rPr>
              <w:rFonts w:asciiTheme="minorHAnsi" w:hAnsiTheme="minorHAnsi"/>
              <w:b w:val="0"/>
              <w:i/>
              <w:color w:val="auto"/>
              <w:sz w:val="24"/>
              <w:szCs w:val="24"/>
              <w:lang w:val="en-GB"/>
            </w:rPr>
            <w:t xml:space="preserve"> </w:t>
          </w:r>
        </w:p>
        <w:bookmarkEnd w:id="142"/>
        <w:p w14:paraId="45055F47" w14:textId="77777777" w:rsidR="009919AC" w:rsidRPr="000D4A19" w:rsidRDefault="009919AC" w:rsidP="004B7CAB">
          <w:pPr>
            <w:spacing w:after="0" w:line="240" w:lineRule="auto"/>
            <w:jc w:val="both"/>
            <w:rPr>
              <w:rFonts w:cstheme="minorHAnsi"/>
              <w:sz w:val="24"/>
              <w:szCs w:val="24"/>
              <w:lang w:val="en-GB"/>
            </w:rPr>
          </w:pPr>
        </w:p>
        <w:p w14:paraId="1357A95E" w14:textId="3BEEFF6F" w:rsidR="00FD218E" w:rsidRPr="000D4A19" w:rsidRDefault="009919AC" w:rsidP="00831B3C">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ascii="Calibri" w:eastAsiaTheme="majorEastAsia" w:hAnsi="Calibri" w:cstheme="majorBidi"/>
              <w:bCs/>
              <w:sz w:val="24"/>
              <w:szCs w:val="24"/>
              <w:lang w:val="en-GB"/>
            </w:rPr>
            <w:t xml:space="preserve">Staff of the Ministry of the Interior are members of nine trade unions: </w:t>
          </w:r>
          <w:r w:rsidR="007E2009" w:rsidRPr="000D4A19">
            <w:rPr>
              <w:rFonts w:ascii="Calibri" w:eastAsiaTheme="majorEastAsia" w:hAnsi="Calibri" w:cstheme="majorBidi"/>
              <w:bCs/>
              <w:sz w:val="24"/>
              <w:szCs w:val="24"/>
              <w:lang w:val="en-GB"/>
            </w:rPr>
            <w:t>t</w:t>
          </w:r>
          <w:r w:rsidRPr="000D4A19">
            <w:rPr>
              <w:rFonts w:ascii="Calibri" w:eastAsiaTheme="majorEastAsia" w:hAnsi="Calibri" w:cstheme="majorBidi"/>
              <w:bCs/>
              <w:sz w:val="24"/>
              <w:szCs w:val="24"/>
              <w:lang w:val="en-GB"/>
            </w:rPr>
            <w:t xml:space="preserve">he Police Union of Croatia, the Independent Union of Employees of the Ministry of the Interior, the Union of Croatian Civil Servants at the National and Local Level, the General Union of the Ministry of the Interior, the National Police Union of the Ministry of the Interior, the Independent Union of Police Officers </w:t>
          </w:r>
          <w:r w:rsidR="007E2009" w:rsidRPr="000D4A19">
            <w:rPr>
              <w:rFonts w:ascii="Calibri" w:eastAsiaTheme="majorEastAsia" w:hAnsi="Calibri" w:cstheme="majorBidi"/>
              <w:bCs/>
              <w:sz w:val="24"/>
              <w:szCs w:val="24"/>
              <w:lang w:val="en-GB"/>
            </w:rPr>
            <w:t>a</w:t>
          </w:r>
          <w:r w:rsidRPr="000D4A19">
            <w:rPr>
              <w:rFonts w:ascii="Calibri" w:eastAsiaTheme="majorEastAsia" w:hAnsi="Calibri" w:cstheme="majorBidi"/>
              <w:bCs/>
              <w:sz w:val="24"/>
              <w:szCs w:val="24"/>
              <w:lang w:val="en-GB"/>
            </w:rPr>
            <w:t xml:space="preserve">nd Employees, the Union of </w:t>
          </w:r>
          <w:r w:rsidR="00976CBC" w:rsidRPr="000D4A19">
            <w:rPr>
              <w:rFonts w:ascii="Calibri" w:eastAsiaTheme="majorEastAsia" w:hAnsi="Calibri" w:cstheme="majorBidi"/>
              <w:bCs/>
              <w:sz w:val="24"/>
              <w:szCs w:val="24"/>
              <w:lang w:val="en-GB"/>
            </w:rPr>
            <w:t xml:space="preserve">Police Officers, the Union of </w:t>
          </w:r>
          <w:r w:rsidRPr="000D4A19">
            <w:rPr>
              <w:rFonts w:ascii="Calibri" w:eastAsiaTheme="majorEastAsia" w:hAnsi="Calibri" w:cstheme="majorBidi"/>
              <w:bCs/>
              <w:sz w:val="24"/>
              <w:szCs w:val="24"/>
              <w:lang w:val="en-GB"/>
            </w:rPr>
            <w:t xml:space="preserve">Employees of the Ministry of the Interior and the Union of </w:t>
          </w:r>
          <w:r w:rsidR="00976CBC" w:rsidRPr="000D4A19">
            <w:rPr>
              <w:rFonts w:ascii="Calibri" w:eastAsiaTheme="majorEastAsia" w:hAnsi="Calibri" w:cstheme="majorBidi"/>
              <w:bCs/>
              <w:sz w:val="24"/>
              <w:szCs w:val="24"/>
              <w:lang w:val="en-GB"/>
            </w:rPr>
            <w:t>the Crime Police</w:t>
          </w:r>
          <w:r w:rsidRPr="000D4A19">
            <w:rPr>
              <w:rFonts w:ascii="Calibri" w:eastAsiaTheme="majorEastAsia" w:hAnsi="Calibri" w:cstheme="majorBidi"/>
              <w:bCs/>
              <w:sz w:val="24"/>
              <w:szCs w:val="24"/>
              <w:lang w:val="en-GB"/>
            </w:rPr>
            <w:t xml:space="preserve">. </w:t>
          </w:r>
          <w:r w:rsidR="00831B3C" w:rsidRPr="000D4A19">
            <w:rPr>
              <w:rFonts w:ascii="Calibri" w:eastAsiaTheme="majorEastAsia" w:hAnsi="Calibri" w:cstheme="majorBidi"/>
              <w:bCs/>
              <w:sz w:val="24"/>
              <w:szCs w:val="24"/>
              <w:lang w:val="en-GB"/>
            </w:rPr>
            <w:t xml:space="preserve">Of these trade unions the first three are so-called representative trade unions, which means that they take part in negotiating collective agreements with the government (every four years). </w:t>
          </w:r>
        </w:p>
        <w:p w14:paraId="6BE70673" w14:textId="77777777" w:rsidR="00FD218E" w:rsidRPr="000D4A19" w:rsidRDefault="00FD218E" w:rsidP="00F43323">
          <w:pPr>
            <w:tabs>
              <w:tab w:val="left" w:pos="709"/>
              <w:tab w:val="num" w:pos="8222"/>
            </w:tabs>
            <w:spacing w:after="0" w:line="240" w:lineRule="auto"/>
            <w:jc w:val="both"/>
            <w:rPr>
              <w:rFonts w:cstheme="minorHAnsi"/>
              <w:sz w:val="24"/>
              <w:szCs w:val="24"/>
              <w:lang w:val="en-GB"/>
            </w:rPr>
          </w:pPr>
        </w:p>
        <w:p w14:paraId="7A250C18" w14:textId="24F85264" w:rsidR="009919AC" w:rsidRPr="000D4A19" w:rsidRDefault="009919AC" w:rsidP="00831B3C">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ascii="Calibri" w:eastAsiaTheme="majorEastAsia" w:hAnsi="Calibri" w:cstheme="majorBidi"/>
              <w:bCs/>
              <w:sz w:val="24"/>
              <w:szCs w:val="24"/>
              <w:lang w:val="en-GB"/>
            </w:rPr>
            <w:t xml:space="preserve">No </w:t>
          </w:r>
          <w:r w:rsidR="00831B3C" w:rsidRPr="000D4A19">
            <w:rPr>
              <w:rFonts w:ascii="Calibri" w:eastAsiaTheme="majorEastAsia" w:hAnsi="Calibri" w:cstheme="majorBidi"/>
              <w:bCs/>
              <w:sz w:val="24"/>
              <w:szCs w:val="24"/>
              <w:lang w:val="en-GB"/>
            </w:rPr>
            <w:t xml:space="preserve">official </w:t>
          </w:r>
          <w:r w:rsidRPr="000D4A19">
            <w:rPr>
              <w:rFonts w:ascii="Calibri" w:eastAsiaTheme="majorEastAsia" w:hAnsi="Calibri" w:cstheme="majorBidi"/>
              <w:bCs/>
              <w:sz w:val="24"/>
              <w:szCs w:val="24"/>
              <w:lang w:val="en-GB"/>
            </w:rPr>
            <w:t>figures are available on the number of members specifically from the ranks of the police</w:t>
          </w:r>
          <w:r w:rsidR="00831B3C" w:rsidRPr="000D4A19">
            <w:rPr>
              <w:rFonts w:ascii="Calibri" w:eastAsiaTheme="majorEastAsia" w:hAnsi="Calibri" w:cstheme="majorBidi"/>
              <w:bCs/>
              <w:sz w:val="24"/>
              <w:szCs w:val="24"/>
              <w:lang w:val="en-GB"/>
            </w:rPr>
            <w:t xml:space="preserve">, but the GET was told that </w:t>
          </w:r>
          <w:r w:rsidR="00220D29" w:rsidRPr="000D4A19">
            <w:rPr>
              <w:rFonts w:ascii="Calibri" w:eastAsiaTheme="majorEastAsia" w:hAnsi="Calibri" w:cstheme="majorBidi"/>
              <w:bCs/>
              <w:sz w:val="24"/>
              <w:szCs w:val="24"/>
              <w:lang w:val="en-GB"/>
            </w:rPr>
            <w:t xml:space="preserve">it was estimated that </w:t>
          </w:r>
          <w:r w:rsidR="00831B3C" w:rsidRPr="000D4A19">
            <w:rPr>
              <w:rFonts w:ascii="Calibri" w:eastAsiaTheme="majorEastAsia" w:hAnsi="Calibri" w:cstheme="majorBidi"/>
              <w:bCs/>
              <w:sz w:val="24"/>
              <w:szCs w:val="24"/>
              <w:lang w:val="en-GB"/>
            </w:rPr>
            <w:t>around 75% of staff of the Ministry of the Interior was a member of a trade union</w:t>
          </w:r>
          <w:r w:rsidRPr="000D4A19">
            <w:rPr>
              <w:rFonts w:ascii="Calibri" w:eastAsiaTheme="majorEastAsia" w:hAnsi="Calibri" w:cstheme="majorBidi"/>
              <w:bCs/>
              <w:sz w:val="24"/>
              <w:szCs w:val="24"/>
              <w:lang w:val="en-GB"/>
            </w:rPr>
            <w:t>. The</w:t>
          </w:r>
          <w:r w:rsidR="007E0DB3" w:rsidRPr="000D4A19">
            <w:rPr>
              <w:rFonts w:ascii="Calibri" w:eastAsiaTheme="majorEastAsia" w:hAnsi="Calibri" w:cstheme="majorBidi"/>
              <w:bCs/>
              <w:sz w:val="24"/>
              <w:szCs w:val="24"/>
              <w:lang w:val="en-GB"/>
            </w:rPr>
            <w:t xml:space="preserve"> unions</w:t>
          </w:r>
          <w:r w:rsidRPr="000D4A19">
            <w:rPr>
              <w:rFonts w:ascii="Calibri" w:eastAsiaTheme="majorEastAsia" w:hAnsi="Calibri" w:cstheme="majorBidi"/>
              <w:bCs/>
              <w:sz w:val="24"/>
              <w:szCs w:val="24"/>
              <w:lang w:val="en-GB"/>
            </w:rPr>
            <w:t xml:space="preserve"> have a primary role in protecting the employment rights of their members</w:t>
          </w:r>
          <w:r w:rsidR="00831B3C" w:rsidRPr="000D4A19">
            <w:rPr>
              <w:rFonts w:ascii="Calibri" w:eastAsiaTheme="majorEastAsia" w:hAnsi="Calibri" w:cstheme="majorBidi"/>
              <w:bCs/>
              <w:sz w:val="24"/>
              <w:szCs w:val="24"/>
              <w:lang w:val="en-GB"/>
            </w:rPr>
            <w:t xml:space="preserve"> (for example</w:t>
          </w:r>
          <w:r w:rsidR="00503955" w:rsidRPr="000D4A19">
            <w:rPr>
              <w:rFonts w:ascii="Calibri" w:eastAsiaTheme="majorEastAsia" w:hAnsi="Calibri" w:cstheme="majorBidi"/>
              <w:bCs/>
              <w:sz w:val="24"/>
              <w:szCs w:val="24"/>
              <w:lang w:val="en-GB"/>
            </w:rPr>
            <w:t>,</w:t>
          </w:r>
          <w:r w:rsidR="00831B3C" w:rsidRPr="000D4A19">
            <w:rPr>
              <w:rFonts w:ascii="Calibri" w:eastAsiaTheme="majorEastAsia" w:hAnsi="Calibri" w:cstheme="majorBidi"/>
              <w:bCs/>
              <w:sz w:val="24"/>
              <w:szCs w:val="24"/>
              <w:lang w:val="en-GB"/>
            </w:rPr>
            <w:t xml:space="preserve"> in a case </w:t>
          </w:r>
          <w:r w:rsidR="00503955" w:rsidRPr="000D4A19">
            <w:rPr>
              <w:rFonts w:ascii="Calibri" w:eastAsiaTheme="majorEastAsia" w:hAnsi="Calibri" w:cstheme="majorBidi"/>
              <w:bCs/>
              <w:sz w:val="24"/>
              <w:szCs w:val="24"/>
              <w:lang w:val="en-GB"/>
            </w:rPr>
            <w:t>of 700</w:t>
          </w:r>
          <w:r w:rsidR="007E2009" w:rsidRPr="000D4A19">
            <w:rPr>
              <w:rFonts w:ascii="Calibri" w:eastAsiaTheme="majorEastAsia" w:hAnsi="Calibri" w:cstheme="majorBidi"/>
              <w:bCs/>
              <w:sz w:val="24"/>
              <w:szCs w:val="24"/>
              <w:lang w:val="en-GB"/>
            </w:rPr>
            <w:t xml:space="preserve"> million</w:t>
          </w:r>
          <w:r w:rsidR="00503955" w:rsidRPr="000D4A19">
            <w:rPr>
              <w:rFonts w:ascii="Calibri" w:eastAsiaTheme="majorEastAsia" w:hAnsi="Calibri" w:cstheme="majorBidi"/>
              <w:bCs/>
              <w:sz w:val="24"/>
              <w:szCs w:val="24"/>
              <w:lang w:val="en-GB"/>
            </w:rPr>
            <w:t xml:space="preserve"> EUR</w:t>
          </w:r>
          <w:r w:rsidR="00305EB2" w:rsidRPr="000D4A19">
            <w:rPr>
              <w:rFonts w:ascii="Calibri" w:eastAsiaTheme="majorEastAsia" w:hAnsi="Calibri" w:cstheme="majorBidi"/>
              <w:bCs/>
              <w:sz w:val="24"/>
              <w:szCs w:val="24"/>
              <w:lang w:val="en-GB"/>
            </w:rPr>
            <w:t>,</w:t>
          </w:r>
          <w:r w:rsidR="00503955" w:rsidRPr="000D4A19">
            <w:rPr>
              <w:rFonts w:ascii="Calibri" w:eastAsiaTheme="majorEastAsia" w:hAnsi="Calibri" w:cstheme="majorBidi"/>
              <w:bCs/>
              <w:sz w:val="24"/>
              <w:szCs w:val="24"/>
              <w:lang w:val="en-GB"/>
            </w:rPr>
            <w:t xml:space="preserve"> </w:t>
          </w:r>
          <w:r w:rsidR="00831B3C" w:rsidRPr="000D4A19">
            <w:rPr>
              <w:rFonts w:ascii="Calibri" w:eastAsiaTheme="majorEastAsia" w:hAnsi="Calibri" w:cstheme="majorBidi"/>
              <w:bCs/>
              <w:sz w:val="24"/>
              <w:szCs w:val="24"/>
              <w:lang w:val="en-GB"/>
            </w:rPr>
            <w:t xml:space="preserve">which was brought </w:t>
          </w:r>
          <w:r w:rsidR="00503955" w:rsidRPr="000D4A19">
            <w:rPr>
              <w:rFonts w:ascii="Calibri" w:eastAsiaTheme="majorEastAsia" w:hAnsi="Calibri" w:cstheme="majorBidi"/>
              <w:bCs/>
              <w:sz w:val="24"/>
              <w:szCs w:val="24"/>
              <w:lang w:val="en-GB"/>
            </w:rPr>
            <w:t xml:space="preserve">by the trade unions </w:t>
          </w:r>
          <w:r w:rsidR="00831B3C" w:rsidRPr="000D4A19">
            <w:rPr>
              <w:rFonts w:ascii="Calibri" w:eastAsiaTheme="majorEastAsia" w:hAnsi="Calibri" w:cstheme="majorBidi"/>
              <w:bCs/>
              <w:sz w:val="24"/>
              <w:szCs w:val="24"/>
              <w:lang w:val="en-GB"/>
            </w:rPr>
            <w:t>against the Croatian government for failing to provide</w:t>
          </w:r>
          <w:r w:rsidR="00305EB2" w:rsidRPr="000D4A19">
            <w:rPr>
              <w:rFonts w:ascii="Calibri" w:eastAsiaTheme="majorEastAsia" w:hAnsi="Calibri" w:cstheme="majorBidi"/>
              <w:bCs/>
              <w:sz w:val="24"/>
              <w:szCs w:val="24"/>
              <w:lang w:val="en-GB"/>
            </w:rPr>
            <w:t xml:space="preserve"> adequate compensation for over-</w:t>
          </w:r>
          <w:r w:rsidR="00831B3C" w:rsidRPr="000D4A19">
            <w:rPr>
              <w:rFonts w:ascii="Calibri" w:eastAsiaTheme="majorEastAsia" w:hAnsi="Calibri" w:cstheme="majorBidi"/>
              <w:bCs/>
              <w:sz w:val="24"/>
              <w:szCs w:val="24"/>
              <w:lang w:val="en-GB"/>
            </w:rPr>
            <w:t>time)</w:t>
          </w:r>
          <w:r w:rsidR="007E0DB3" w:rsidRPr="000D4A19">
            <w:rPr>
              <w:rFonts w:ascii="Calibri" w:eastAsiaTheme="majorEastAsia" w:hAnsi="Calibri" w:cstheme="majorBidi"/>
              <w:bCs/>
              <w:sz w:val="24"/>
              <w:szCs w:val="24"/>
              <w:lang w:val="en-GB"/>
            </w:rPr>
            <w:t xml:space="preserve">. Amongst other things, the unions </w:t>
          </w:r>
          <w:r w:rsidRPr="000D4A19">
            <w:rPr>
              <w:rFonts w:ascii="Calibri" w:eastAsiaTheme="majorEastAsia" w:hAnsi="Calibri" w:cstheme="majorBidi"/>
              <w:bCs/>
              <w:sz w:val="24"/>
              <w:szCs w:val="24"/>
              <w:lang w:val="en-GB"/>
            </w:rPr>
            <w:t>seek to improve material conditions of their members</w:t>
          </w:r>
          <w:r w:rsidR="0050764E" w:rsidRPr="000D4A19">
            <w:rPr>
              <w:rFonts w:ascii="Calibri" w:eastAsiaTheme="majorEastAsia" w:hAnsi="Calibri" w:cstheme="majorBidi"/>
              <w:bCs/>
              <w:sz w:val="24"/>
              <w:szCs w:val="24"/>
              <w:lang w:val="en-GB"/>
            </w:rPr>
            <w:t xml:space="preserve"> and</w:t>
          </w:r>
          <w:r w:rsidR="007E0DB3" w:rsidRPr="000D4A19">
            <w:rPr>
              <w:rFonts w:ascii="Calibri" w:eastAsiaTheme="majorEastAsia" w:hAnsi="Calibri" w:cstheme="majorBidi"/>
              <w:bCs/>
              <w:sz w:val="24"/>
              <w:szCs w:val="24"/>
              <w:lang w:val="en-GB"/>
            </w:rPr>
            <w:t xml:space="preserve"> </w:t>
          </w:r>
          <w:r w:rsidR="00FD218E" w:rsidRPr="000D4A19">
            <w:rPr>
              <w:rFonts w:ascii="Calibri" w:eastAsiaTheme="majorEastAsia" w:hAnsi="Calibri" w:cstheme="majorBidi"/>
              <w:bCs/>
              <w:i/>
              <w:sz w:val="24"/>
              <w:szCs w:val="24"/>
              <w:lang w:val="en-GB"/>
            </w:rPr>
            <w:t xml:space="preserve">inter alia </w:t>
          </w:r>
          <w:r w:rsidR="007E0DB3" w:rsidRPr="000D4A19">
            <w:rPr>
              <w:rFonts w:ascii="Calibri" w:eastAsiaTheme="majorEastAsia" w:hAnsi="Calibri" w:cstheme="majorBidi"/>
              <w:bCs/>
              <w:sz w:val="24"/>
              <w:szCs w:val="24"/>
              <w:lang w:val="en-GB"/>
            </w:rPr>
            <w:t>provide</w:t>
          </w:r>
          <w:r w:rsidRPr="000D4A19">
            <w:rPr>
              <w:rFonts w:ascii="Calibri" w:eastAsiaTheme="majorEastAsia" w:hAnsi="Calibri" w:cstheme="majorBidi"/>
              <w:bCs/>
              <w:sz w:val="24"/>
              <w:szCs w:val="24"/>
              <w:lang w:val="en-GB"/>
            </w:rPr>
            <w:t xml:space="preserve"> legal aid (in disciplinary and court proceedings) </w:t>
          </w:r>
          <w:r w:rsidR="00FD218E" w:rsidRPr="000D4A19">
            <w:rPr>
              <w:rFonts w:ascii="Calibri" w:eastAsiaTheme="majorEastAsia" w:hAnsi="Calibri" w:cstheme="majorBidi"/>
              <w:bCs/>
              <w:sz w:val="24"/>
              <w:szCs w:val="24"/>
              <w:lang w:val="en-GB"/>
            </w:rPr>
            <w:t>to their members</w:t>
          </w:r>
          <w:r w:rsidRPr="000D4A19">
            <w:rPr>
              <w:rFonts w:ascii="Calibri" w:eastAsiaTheme="majorEastAsia" w:hAnsi="Calibri" w:cstheme="majorBidi"/>
              <w:bCs/>
              <w:sz w:val="24"/>
              <w:szCs w:val="24"/>
              <w:lang w:val="en-GB"/>
            </w:rPr>
            <w:t xml:space="preserve">. </w:t>
          </w:r>
        </w:p>
        <w:p w14:paraId="7A4DE4BC" w14:textId="77777777" w:rsidR="009919AC" w:rsidRPr="000D4A19" w:rsidRDefault="009919AC" w:rsidP="004B7CAB">
          <w:pPr>
            <w:spacing w:after="0" w:line="240" w:lineRule="auto"/>
            <w:jc w:val="both"/>
            <w:rPr>
              <w:rFonts w:cstheme="minorHAnsi"/>
              <w:b/>
              <w:bCs/>
              <w:sz w:val="24"/>
              <w:szCs w:val="24"/>
              <w:u w:val="single"/>
              <w:lang w:val="en-GB"/>
            </w:rPr>
          </w:pPr>
        </w:p>
        <w:p w14:paraId="194CEF6B" w14:textId="77777777" w:rsidR="009919AC" w:rsidRPr="000D4A19" w:rsidRDefault="009919AC" w:rsidP="004B7CAB">
          <w:pPr>
            <w:pStyle w:val="Naslov2"/>
            <w:keepNext w:val="0"/>
            <w:keepLines w:val="0"/>
            <w:tabs>
              <w:tab w:val="left" w:pos="709"/>
            </w:tabs>
            <w:spacing w:before="0" w:line="240" w:lineRule="auto"/>
            <w:jc w:val="both"/>
            <w:rPr>
              <w:rFonts w:asciiTheme="minorHAnsi" w:hAnsiTheme="minorHAnsi"/>
              <w:color w:val="auto"/>
              <w:sz w:val="24"/>
              <w:szCs w:val="24"/>
              <w:u w:val="single"/>
              <w:lang w:val="en-GB"/>
            </w:rPr>
          </w:pPr>
          <w:bookmarkStart w:id="143" w:name="_Toc4762878"/>
          <w:bookmarkStart w:id="144" w:name="_Toc25229323"/>
          <w:bookmarkStart w:id="145" w:name="_Toc484088340"/>
          <w:r w:rsidRPr="000D4A19">
            <w:rPr>
              <w:rFonts w:asciiTheme="minorHAnsi" w:hAnsiTheme="minorHAnsi"/>
              <w:color w:val="auto"/>
              <w:sz w:val="24"/>
              <w:szCs w:val="24"/>
              <w:u w:val="single"/>
              <w:lang w:val="en-GB"/>
            </w:rPr>
            <w:t>Anti-corruption and integrity policy</w:t>
          </w:r>
          <w:bookmarkEnd w:id="143"/>
          <w:bookmarkEnd w:id="144"/>
        </w:p>
        <w:p w14:paraId="37899DBC" w14:textId="77777777" w:rsidR="009919AC" w:rsidRPr="000D4A19" w:rsidRDefault="009919AC" w:rsidP="004B7CAB">
          <w:pPr>
            <w:spacing w:after="0" w:line="240" w:lineRule="auto"/>
            <w:jc w:val="both"/>
            <w:rPr>
              <w:rFonts w:cstheme="minorHAnsi"/>
              <w:bCs/>
              <w:sz w:val="24"/>
              <w:szCs w:val="24"/>
              <w:lang w:val="en-GB"/>
            </w:rPr>
          </w:pPr>
        </w:p>
        <w:p w14:paraId="3575022D"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146" w:name="_Toc4762879"/>
          <w:bookmarkStart w:id="147" w:name="_Toc25229324"/>
          <w:bookmarkStart w:id="148" w:name="_Toc484088341"/>
          <w:bookmarkEnd w:id="145"/>
          <w:r w:rsidRPr="000D4A19">
            <w:rPr>
              <w:rFonts w:asciiTheme="minorHAnsi" w:hAnsiTheme="minorHAnsi"/>
              <w:b w:val="0"/>
              <w:i/>
              <w:color w:val="auto"/>
              <w:sz w:val="24"/>
              <w:szCs w:val="24"/>
              <w:lang w:val="en-GB"/>
            </w:rPr>
            <w:t>Anti-corruption strategy and implementation</w:t>
          </w:r>
          <w:bookmarkEnd w:id="146"/>
          <w:bookmarkEnd w:id="147"/>
          <w:r w:rsidRPr="000D4A19">
            <w:rPr>
              <w:rFonts w:asciiTheme="minorHAnsi" w:hAnsiTheme="minorHAnsi"/>
              <w:b w:val="0"/>
              <w:i/>
              <w:color w:val="auto"/>
              <w:sz w:val="24"/>
              <w:szCs w:val="24"/>
              <w:lang w:val="en-GB"/>
            </w:rPr>
            <w:t xml:space="preserve"> </w:t>
          </w:r>
        </w:p>
        <w:bookmarkEnd w:id="148"/>
        <w:p w14:paraId="64E139C2" w14:textId="77777777" w:rsidR="009919AC" w:rsidRPr="000D4A19" w:rsidRDefault="009919AC" w:rsidP="004B7CAB">
          <w:pPr>
            <w:spacing w:after="0" w:line="240" w:lineRule="auto"/>
            <w:jc w:val="both"/>
            <w:rPr>
              <w:rFonts w:cstheme="minorHAnsi"/>
              <w:sz w:val="24"/>
              <w:szCs w:val="24"/>
              <w:lang w:val="en-GB"/>
            </w:rPr>
          </w:pPr>
        </w:p>
        <w:p w14:paraId="2F71B745" w14:textId="63EACD4E" w:rsidR="009919AC" w:rsidRPr="000D4A19" w:rsidRDefault="009919AC" w:rsidP="005433C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There are no dedicated anti-corruption policies for the police as a whole</w:t>
          </w:r>
          <w:r w:rsidR="00FD218E" w:rsidRPr="000D4A19">
            <w:rPr>
              <w:rFonts w:cstheme="minorHAnsi"/>
              <w:sz w:val="24"/>
              <w:szCs w:val="24"/>
              <w:lang w:val="en-GB"/>
            </w:rPr>
            <w:t xml:space="preserve">, </w:t>
          </w:r>
          <w:r w:rsidR="00B02586" w:rsidRPr="000D4A19">
            <w:rPr>
              <w:rFonts w:cstheme="minorHAnsi"/>
              <w:sz w:val="24"/>
              <w:szCs w:val="24"/>
              <w:lang w:val="en-GB"/>
            </w:rPr>
            <w:t>but</w:t>
          </w:r>
          <w:r w:rsidRPr="000D4A19">
            <w:rPr>
              <w:rFonts w:cstheme="minorHAnsi"/>
              <w:sz w:val="24"/>
              <w:szCs w:val="24"/>
              <w:lang w:val="en-GB"/>
            </w:rPr>
            <w:t xml:space="preserve"> a plan focused on the bord</w:t>
          </w:r>
          <w:r w:rsidR="00973F9C" w:rsidRPr="000D4A19">
            <w:rPr>
              <w:rFonts w:cstheme="minorHAnsi"/>
              <w:sz w:val="24"/>
              <w:szCs w:val="24"/>
              <w:lang w:val="en-GB"/>
            </w:rPr>
            <w:t>er police</w:t>
          </w:r>
          <w:r w:rsidR="00FD218E" w:rsidRPr="000D4A19">
            <w:rPr>
              <w:rFonts w:cstheme="minorHAnsi"/>
              <w:sz w:val="24"/>
              <w:szCs w:val="24"/>
              <w:lang w:val="en-GB"/>
            </w:rPr>
            <w:t>, which is part of the police,</w:t>
          </w:r>
          <w:r w:rsidR="00973F9C" w:rsidRPr="000D4A19">
            <w:rPr>
              <w:rFonts w:cstheme="minorHAnsi"/>
              <w:sz w:val="24"/>
              <w:szCs w:val="24"/>
              <w:lang w:val="en-GB"/>
            </w:rPr>
            <w:t xml:space="preserve"> does exist</w:t>
          </w:r>
          <w:r w:rsidRPr="000D4A19">
            <w:rPr>
              <w:rFonts w:cstheme="minorHAnsi"/>
              <w:sz w:val="24"/>
              <w:szCs w:val="24"/>
              <w:lang w:val="en-GB"/>
            </w:rPr>
            <w:t xml:space="preserve">. The </w:t>
          </w:r>
          <w:r w:rsidR="003C3D2D" w:rsidRPr="000D4A19">
            <w:rPr>
              <w:rFonts w:cstheme="minorHAnsi"/>
              <w:sz w:val="24"/>
              <w:szCs w:val="24"/>
              <w:lang w:val="en-GB"/>
            </w:rPr>
            <w:t xml:space="preserve">GET was told that the </w:t>
          </w:r>
          <w:r w:rsidRPr="000D4A19">
            <w:rPr>
              <w:rFonts w:cstheme="minorHAnsi"/>
              <w:sz w:val="24"/>
              <w:szCs w:val="24"/>
              <w:lang w:val="en-GB"/>
            </w:rPr>
            <w:t xml:space="preserve">police participates in the realisation of the general Anti-Corruption Strategy and related Action Plans (see </w:t>
          </w:r>
          <w:r w:rsidRPr="007A42EA">
            <w:rPr>
              <w:rFonts w:cstheme="minorHAnsi"/>
              <w:sz w:val="24"/>
              <w:szCs w:val="24"/>
              <w:lang w:val="en-GB"/>
            </w:rPr>
            <w:t xml:space="preserve">paragraphs </w:t>
          </w:r>
          <w:r w:rsidR="0001753C" w:rsidRPr="007A42EA">
            <w:rPr>
              <w:rFonts w:cstheme="minorHAnsi"/>
              <w:sz w:val="24"/>
              <w:szCs w:val="24"/>
              <w:lang w:val="en-GB"/>
            </w:rPr>
            <w:t>3</w:t>
          </w:r>
          <w:r w:rsidR="00ED28E7" w:rsidRPr="007A42EA">
            <w:rPr>
              <w:rFonts w:cstheme="minorHAnsi"/>
              <w:sz w:val="24"/>
              <w:szCs w:val="24"/>
              <w:lang w:val="en-GB"/>
            </w:rPr>
            <w:t>4</w:t>
          </w:r>
          <w:r w:rsidR="00DD681C" w:rsidRPr="007A42EA">
            <w:rPr>
              <w:rFonts w:cstheme="minorHAnsi"/>
              <w:sz w:val="24"/>
              <w:szCs w:val="24"/>
              <w:lang w:val="en-GB"/>
            </w:rPr>
            <w:t>-3</w:t>
          </w:r>
          <w:r w:rsidR="00ED28E7" w:rsidRPr="007A42EA">
            <w:rPr>
              <w:rFonts w:cstheme="minorHAnsi"/>
              <w:sz w:val="24"/>
              <w:szCs w:val="24"/>
              <w:lang w:val="en-GB"/>
            </w:rPr>
            <w:t>6</w:t>
          </w:r>
          <w:r w:rsidRPr="007A42EA">
            <w:rPr>
              <w:rFonts w:cstheme="minorHAnsi"/>
              <w:sz w:val="24"/>
              <w:szCs w:val="24"/>
              <w:lang w:val="en-GB"/>
            </w:rPr>
            <w:t xml:space="preserve"> a</w:t>
          </w:r>
          <w:r w:rsidRPr="000D4A19">
            <w:rPr>
              <w:rFonts w:cstheme="minorHAnsi"/>
              <w:sz w:val="24"/>
              <w:szCs w:val="24"/>
              <w:lang w:val="en-GB"/>
            </w:rPr>
            <w:t>bove)</w:t>
          </w:r>
          <w:r w:rsidR="00220D29" w:rsidRPr="000D4A19">
            <w:rPr>
              <w:rFonts w:cstheme="minorHAnsi"/>
              <w:sz w:val="24"/>
              <w:szCs w:val="24"/>
              <w:lang w:val="en-GB"/>
            </w:rPr>
            <w:t xml:space="preserve">. It however does not seem that </w:t>
          </w:r>
          <w:r w:rsidR="00516F73" w:rsidRPr="000D4A19">
            <w:rPr>
              <w:rFonts w:cstheme="minorHAnsi"/>
              <w:sz w:val="24"/>
              <w:szCs w:val="24"/>
              <w:lang w:val="en-GB"/>
            </w:rPr>
            <w:t xml:space="preserve">any </w:t>
          </w:r>
          <w:r w:rsidR="00973F9C" w:rsidRPr="000D4A19">
            <w:rPr>
              <w:rFonts w:cstheme="minorHAnsi"/>
              <w:sz w:val="24"/>
              <w:szCs w:val="24"/>
              <w:lang w:val="en-GB"/>
            </w:rPr>
            <w:t xml:space="preserve">measures contained therein </w:t>
          </w:r>
          <w:r w:rsidR="00516F73" w:rsidRPr="000D4A19">
            <w:rPr>
              <w:rFonts w:cstheme="minorHAnsi"/>
              <w:sz w:val="24"/>
              <w:szCs w:val="24"/>
              <w:lang w:val="en-GB"/>
            </w:rPr>
            <w:t xml:space="preserve">have a direct focus on </w:t>
          </w:r>
          <w:r w:rsidR="00973F9C" w:rsidRPr="000D4A19">
            <w:rPr>
              <w:rFonts w:cstheme="minorHAnsi"/>
              <w:sz w:val="24"/>
              <w:szCs w:val="24"/>
              <w:lang w:val="en-GB"/>
            </w:rPr>
            <w:t xml:space="preserve">the police. </w:t>
          </w:r>
        </w:p>
        <w:p w14:paraId="3890AC35" w14:textId="77777777" w:rsidR="009919AC" w:rsidRPr="000D4A19" w:rsidRDefault="009919AC" w:rsidP="005433CB">
          <w:pPr>
            <w:tabs>
              <w:tab w:val="left" w:pos="709"/>
            </w:tabs>
            <w:spacing w:after="0" w:line="240" w:lineRule="auto"/>
            <w:jc w:val="both"/>
            <w:rPr>
              <w:rFonts w:cstheme="minorHAnsi"/>
              <w:sz w:val="24"/>
              <w:szCs w:val="24"/>
              <w:lang w:val="en-GB"/>
            </w:rPr>
          </w:pPr>
        </w:p>
        <w:p w14:paraId="169E91A0" w14:textId="5C4560F8" w:rsidR="00124D90" w:rsidRPr="000D4A19" w:rsidRDefault="009919AC" w:rsidP="005433C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149" w:name="_Toc479580456"/>
          <w:bookmarkStart w:id="150" w:name="_Toc4762880"/>
          <w:bookmarkStart w:id="151" w:name="_Toc25229325"/>
          <w:r w:rsidRPr="000D4A19">
            <w:rPr>
              <w:rFonts w:asciiTheme="minorHAnsi" w:hAnsiTheme="minorHAnsi"/>
              <w:b w:val="0"/>
              <w:i/>
              <w:color w:val="auto"/>
              <w:sz w:val="24"/>
              <w:szCs w:val="24"/>
              <w:lang w:val="en-GB"/>
            </w:rPr>
            <w:t>Risk management measures for corruption prone areas</w:t>
          </w:r>
          <w:bookmarkEnd w:id="149"/>
          <w:bookmarkEnd w:id="150"/>
          <w:bookmarkEnd w:id="151"/>
        </w:p>
        <w:p w14:paraId="73564B88" w14:textId="77777777" w:rsidR="00220D29" w:rsidRPr="000D4A19" w:rsidRDefault="00220D29" w:rsidP="005433CB">
          <w:pPr>
            <w:tabs>
              <w:tab w:val="left" w:pos="709"/>
              <w:tab w:val="num" w:pos="8222"/>
            </w:tabs>
            <w:spacing w:after="0" w:line="240" w:lineRule="auto"/>
            <w:jc w:val="both"/>
            <w:rPr>
              <w:rFonts w:cstheme="minorHAnsi"/>
              <w:sz w:val="24"/>
              <w:szCs w:val="24"/>
              <w:lang w:val="en-GB"/>
            </w:rPr>
          </w:pPr>
        </w:p>
        <w:p w14:paraId="1E45483A" w14:textId="6C1AFC6C" w:rsidR="00516F73" w:rsidRPr="000D4A19" w:rsidRDefault="00124D90" w:rsidP="005433C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Various measures and mechanisms are in place in the Croatian police, to prevent corruption within its own ranks, including training on integrity (see </w:t>
          </w:r>
          <w:r w:rsidRPr="007A42EA">
            <w:rPr>
              <w:rFonts w:cstheme="minorHAnsi"/>
              <w:sz w:val="24"/>
              <w:szCs w:val="24"/>
              <w:lang w:val="en-GB"/>
            </w:rPr>
            <w:t>paragraph</w:t>
          </w:r>
          <w:r w:rsidR="0001753C" w:rsidRPr="007A42EA">
            <w:rPr>
              <w:rFonts w:cstheme="minorHAnsi"/>
              <w:sz w:val="24"/>
              <w:szCs w:val="24"/>
              <w:lang w:val="en-GB"/>
            </w:rPr>
            <w:t xml:space="preserve"> 11</w:t>
          </w:r>
          <w:r w:rsidR="00DD681C" w:rsidRPr="007A42EA">
            <w:rPr>
              <w:rFonts w:cstheme="minorHAnsi"/>
              <w:sz w:val="24"/>
              <w:szCs w:val="24"/>
              <w:lang w:val="en-GB"/>
            </w:rPr>
            <w:t>9-121</w:t>
          </w:r>
          <w:r w:rsidRPr="007A42EA">
            <w:rPr>
              <w:rFonts w:cstheme="minorHAnsi"/>
              <w:sz w:val="24"/>
              <w:szCs w:val="24"/>
              <w:lang w:val="en-GB"/>
            </w:rPr>
            <w:t xml:space="preserve"> further</w:t>
          </w:r>
          <w:r w:rsidRPr="000D4A19">
            <w:rPr>
              <w:rFonts w:cstheme="minorHAnsi"/>
              <w:sz w:val="24"/>
              <w:szCs w:val="24"/>
              <w:lang w:val="en-GB"/>
            </w:rPr>
            <w:t xml:space="preserve"> below), disciplinary tools in case of breaches of duties, systems of internal and external control</w:t>
          </w:r>
          <w:r w:rsidR="00516F73" w:rsidRPr="000D4A19">
            <w:rPr>
              <w:rFonts w:cstheme="minorHAnsi"/>
              <w:sz w:val="24"/>
              <w:szCs w:val="24"/>
              <w:lang w:val="en-GB"/>
            </w:rPr>
            <w:t xml:space="preserve"> and other tools (</w:t>
          </w:r>
          <w:r w:rsidR="00811DB3" w:rsidRPr="000D4A19">
            <w:rPr>
              <w:rFonts w:cstheme="minorHAnsi"/>
              <w:sz w:val="24"/>
              <w:szCs w:val="24"/>
              <w:lang w:val="en-GB"/>
            </w:rPr>
            <w:t xml:space="preserve">regular IT check logs, </w:t>
          </w:r>
          <w:r w:rsidR="00516F73" w:rsidRPr="000D4A19">
            <w:rPr>
              <w:rFonts w:cstheme="minorHAnsi"/>
              <w:sz w:val="24"/>
              <w:szCs w:val="24"/>
              <w:lang w:val="en-GB"/>
            </w:rPr>
            <w:t xml:space="preserve">rotation of </w:t>
          </w:r>
          <w:r w:rsidR="00811DB3" w:rsidRPr="000D4A19">
            <w:rPr>
              <w:rFonts w:cstheme="minorHAnsi"/>
              <w:sz w:val="24"/>
              <w:szCs w:val="24"/>
              <w:lang w:val="en-GB"/>
            </w:rPr>
            <w:t>border guards</w:t>
          </w:r>
          <w:r w:rsidR="00516F73" w:rsidRPr="000D4A19">
            <w:rPr>
              <w:rFonts w:cstheme="minorHAnsi"/>
              <w:sz w:val="24"/>
              <w:szCs w:val="24"/>
              <w:lang w:val="en-GB"/>
            </w:rPr>
            <w:t xml:space="preserve">, </w:t>
          </w:r>
          <w:r w:rsidR="00811DB3" w:rsidRPr="000D4A19">
            <w:rPr>
              <w:rFonts w:cstheme="minorHAnsi"/>
              <w:sz w:val="24"/>
              <w:szCs w:val="24"/>
              <w:lang w:val="en-GB"/>
            </w:rPr>
            <w:t>video surveillance at border crossings</w:t>
          </w:r>
          <w:r w:rsidR="00516F73" w:rsidRPr="000D4A19">
            <w:rPr>
              <w:rFonts w:cstheme="minorHAnsi"/>
              <w:sz w:val="24"/>
              <w:szCs w:val="24"/>
              <w:lang w:val="en-GB"/>
            </w:rPr>
            <w:t xml:space="preserve"> etc.)</w:t>
          </w:r>
          <w:r w:rsidRPr="000D4A19">
            <w:rPr>
              <w:rFonts w:cstheme="minorHAnsi"/>
              <w:sz w:val="24"/>
              <w:szCs w:val="24"/>
              <w:lang w:val="en-GB"/>
            </w:rPr>
            <w:t xml:space="preserve">. In addition, specifically </w:t>
          </w:r>
          <w:r w:rsidR="003C3D2D" w:rsidRPr="000D4A19">
            <w:rPr>
              <w:rFonts w:cstheme="minorHAnsi"/>
              <w:sz w:val="24"/>
              <w:szCs w:val="24"/>
              <w:lang w:val="en-GB"/>
            </w:rPr>
            <w:t>for the border police, in May 2012</w:t>
          </w:r>
          <w:r w:rsidR="00060F45" w:rsidRPr="000D4A19">
            <w:rPr>
              <w:rFonts w:cstheme="minorHAnsi"/>
              <w:sz w:val="24"/>
              <w:szCs w:val="24"/>
              <w:lang w:val="en-GB"/>
            </w:rPr>
            <w:t>,</w:t>
          </w:r>
          <w:r w:rsidR="003C3D2D" w:rsidRPr="000D4A19">
            <w:rPr>
              <w:rFonts w:cstheme="minorHAnsi"/>
              <w:sz w:val="24"/>
              <w:szCs w:val="24"/>
              <w:lang w:val="en-GB"/>
            </w:rPr>
            <w:t xml:space="preserve"> a special plan for implementation of anti-corruption measures entered into force. </w:t>
          </w:r>
          <w:r w:rsidR="00516F73" w:rsidRPr="000D4A19">
            <w:rPr>
              <w:rFonts w:cstheme="minorHAnsi"/>
              <w:sz w:val="24"/>
              <w:szCs w:val="24"/>
              <w:lang w:val="en-GB"/>
            </w:rPr>
            <w:t xml:space="preserve">The GET was informed that as a basis for the plan, a comprehensive overview of risks and threats was made in relation to the work carried out by border police officers, identifying those situations </w:t>
          </w:r>
          <w:r w:rsidR="00FD218E" w:rsidRPr="000D4A19">
            <w:rPr>
              <w:rFonts w:cstheme="minorHAnsi"/>
              <w:sz w:val="24"/>
              <w:szCs w:val="24"/>
              <w:lang w:val="en-GB"/>
            </w:rPr>
            <w:t xml:space="preserve">in which </w:t>
          </w:r>
          <w:r w:rsidR="00516F73" w:rsidRPr="000D4A19">
            <w:rPr>
              <w:rFonts w:cstheme="minorHAnsi"/>
              <w:sz w:val="24"/>
              <w:szCs w:val="24"/>
              <w:lang w:val="en-GB"/>
            </w:rPr>
            <w:t>a lot of discretion is left to border police officers, where they are subject to a lesser degree of control, where salaries are (too) low, where there are no norms of behaviour which would actively deter them from possible corrupt behaviour, where the controls carried out have insufficient preventive value and</w:t>
          </w:r>
          <w:r w:rsidR="00FD218E" w:rsidRPr="000D4A19">
            <w:rPr>
              <w:rFonts w:cstheme="minorHAnsi"/>
              <w:sz w:val="24"/>
              <w:szCs w:val="24"/>
              <w:lang w:val="en-GB"/>
            </w:rPr>
            <w:t>/or</w:t>
          </w:r>
          <w:r w:rsidR="00516F73" w:rsidRPr="000D4A19">
            <w:rPr>
              <w:rFonts w:cstheme="minorHAnsi"/>
              <w:sz w:val="24"/>
              <w:szCs w:val="24"/>
              <w:lang w:val="en-GB"/>
            </w:rPr>
            <w:t xml:space="preserve"> where there </w:t>
          </w:r>
          <w:r w:rsidR="00060F45" w:rsidRPr="000D4A19">
            <w:rPr>
              <w:rFonts w:cstheme="minorHAnsi"/>
              <w:sz w:val="24"/>
              <w:szCs w:val="24"/>
              <w:lang w:val="en-GB"/>
            </w:rPr>
            <w:t>is</w:t>
          </w:r>
          <w:r w:rsidR="00516F73" w:rsidRPr="000D4A19">
            <w:rPr>
              <w:rFonts w:cstheme="minorHAnsi"/>
              <w:sz w:val="24"/>
              <w:szCs w:val="24"/>
              <w:lang w:val="en-GB"/>
            </w:rPr>
            <w:t xml:space="preserve"> a lot of direct contact between police officers and citizens. To date, this plan is updated by all police administrations every six months, and currently focuses on rotation of border guards, oversight and training. </w:t>
          </w:r>
        </w:p>
        <w:p w14:paraId="28833699" w14:textId="77777777" w:rsidR="00220D29" w:rsidRPr="000D4A19" w:rsidRDefault="00220D29" w:rsidP="005433CB">
          <w:pPr>
            <w:spacing w:after="0" w:line="240" w:lineRule="auto"/>
            <w:jc w:val="both"/>
            <w:rPr>
              <w:rFonts w:cstheme="minorHAnsi"/>
              <w:sz w:val="24"/>
              <w:szCs w:val="24"/>
              <w:lang w:val="en-GB"/>
            </w:rPr>
          </w:pPr>
        </w:p>
        <w:p w14:paraId="6B199321" w14:textId="5BF0702F" w:rsidR="009919AC" w:rsidRPr="000D4A19" w:rsidRDefault="009919AC" w:rsidP="005433C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Furthermore, the Internal Control D</w:t>
          </w:r>
          <w:r w:rsidR="00B02586" w:rsidRPr="000D4A19">
            <w:rPr>
              <w:rFonts w:cstheme="minorHAnsi"/>
              <w:sz w:val="24"/>
              <w:szCs w:val="24"/>
              <w:lang w:val="en-GB"/>
            </w:rPr>
            <w:t>ivision</w:t>
          </w:r>
          <w:r w:rsidRPr="000D4A19">
            <w:rPr>
              <w:rFonts w:cstheme="minorHAnsi"/>
              <w:sz w:val="24"/>
              <w:szCs w:val="24"/>
              <w:lang w:val="en-GB"/>
            </w:rPr>
            <w:t xml:space="preserve"> (see on the Internal Control D</w:t>
          </w:r>
          <w:r w:rsidR="00B02586" w:rsidRPr="000D4A19">
            <w:rPr>
              <w:rFonts w:cstheme="minorHAnsi"/>
              <w:sz w:val="24"/>
              <w:szCs w:val="24"/>
              <w:lang w:val="en-GB"/>
            </w:rPr>
            <w:t>ivision</w:t>
          </w:r>
          <w:r w:rsidRPr="000D4A19">
            <w:rPr>
              <w:rFonts w:cstheme="minorHAnsi"/>
              <w:sz w:val="24"/>
              <w:szCs w:val="24"/>
              <w:lang w:val="en-GB"/>
            </w:rPr>
            <w:t xml:space="preserve"> </w:t>
          </w:r>
          <w:r w:rsidRPr="007A42EA">
            <w:rPr>
              <w:rFonts w:cstheme="minorHAnsi"/>
              <w:sz w:val="24"/>
              <w:szCs w:val="24"/>
              <w:lang w:val="en-GB"/>
            </w:rPr>
            <w:t xml:space="preserve">paragraphs </w:t>
          </w:r>
          <w:r w:rsidR="0001753C" w:rsidRPr="007A42EA">
            <w:rPr>
              <w:rFonts w:cstheme="minorHAnsi"/>
              <w:sz w:val="24"/>
              <w:szCs w:val="24"/>
              <w:lang w:val="en-GB"/>
            </w:rPr>
            <w:t>1</w:t>
          </w:r>
          <w:r w:rsidR="00DD681C" w:rsidRPr="007A42EA">
            <w:rPr>
              <w:rFonts w:cstheme="minorHAnsi"/>
              <w:sz w:val="24"/>
              <w:szCs w:val="24"/>
              <w:lang w:val="en-GB"/>
            </w:rPr>
            <w:t>5</w:t>
          </w:r>
          <w:r w:rsidR="00ED28E7" w:rsidRPr="007A42EA">
            <w:rPr>
              <w:rFonts w:cstheme="minorHAnsi"/>
              <w:sz w:val="24"/>
              <w:szCs w:val="24"/>
              <w:lang w:val="en-GB"/>
            </w:rPr>
            <w:t>0</w:t>
          </w:r>
          <w:r w:rsidR="00DD681C" w:rsidRPr="007A42EA">
            <w:rPr>
              <w:rFonts w:cstheme="minorHAnsi"/>
              <w:sz w:val="24"/>
              <w:szCs w:val="24"/>
              <w:lang w:val="en-GB"/>
            </w:rPr>
            <w:t>-15</w:t>
          </w:r>
          <w:r w:rsidR="00ED28E7" w:rsidRPr="007A42EA">
            <w:rPr>
              <w:rFonts w:cstheme="minorHAnsi"/>
              <w:sz w:val="24"/>
              <w:szCs w:val="24"/>
              <w:lang w:val="en-GB"/>
            </w:rPr>
            <w:t>3</w:t>
          </w:r>
          <w:r w:rsidRPr="007A42EA">
            <w:rPr>
              <w:rFonts w:cstheme="minorHAnsi"/>
              <w:sz w:val="24"/>
              <w:szCs w:val="24"/>
              <w:lang w:val="en-GB"/>
            </w:rPr>
            <w:t xml:space="preserve"> below</w:t>
          </w:r>
          <w:r w:rsidRPr="000D4A19">
            <w:rPr>
              <w:rFonts w:cstheme="minorHAnsi"/>
              <w:sz w:val="24"/>
              <w:szCs w:val="24"/>
              <w:lang w:val="en-GB"/>
            </w:rPr>
            <w:t xml:space="preserve">) analyses data (including from complaints) on illegal actions and misconduct of police officers and other employees of the Ministry. To this end, an </w:t>
          </w:r>
          <w:r w:rsidR="007E0DB3" w:rsidRPr="000D4A19">
            <w:rPr>
              <w:rFonts w:cstheme="minorHAnsi"/>
              <w:sz w:val="24"/>
              <w:szCs w:val="24"/>
              <w:lang w:val="en-GB"/>
            </w:rPr>
            <w:t xml:space="preserve">IT </w:t>
          </w:r>
          <w:r w:rsidRPr="000D4A19">
            <w:rPr>
              <w:rFonts w:cstheme="minorHAnsi"/>
              <w:sz w:val="24"/>
              <w:szCs w:val="24"/>
              <w:lang w:val="en-GB"/>
            </w:rPr>
            <w:t xml:space="preserve">application </w:t>
          </w:r>
          <w:r w:rsidR="00276563" w:rsidRPr="000D4A19">
            <w:rPr>
              <w:rFonts w:cstheme="minorHAnsi"/>
              <w:sz w:val="24"/>
              <w:szCs w:val="24"/>
              <w:lang w:val="en-GB"/>
            </w:rPr>
            <w:t xml:space="preserve">has been established, called </w:t>
          </w:r>
          <w:r w:rsidRPr="000D4A19">
            <w:rPr>
              <w:rFonts w:cstheme="minorHAnsi"/>
              <w:sz w:val="24"/>
              <w:szCs w:val="24"/>
              <w:lang w:val="en-GB"/>
            </w:rPr>
            <w:t xml:space="preserve">“Internal Control Affairs”. This </w:t>
          </w:r>
          <w:r w:rsidR="00220D29" w:rsidRPr="000D4A19">
            <w:rPr>
              <w:rFonts w:cstheme="minorHAnsi"/>
              <w:sz w:val="24"/>
              <w:szCs w:val="24"/>
              <w:lang w:val="en-GB"/>
            </w:rPr>
            <w:t>app</w:t>
          </w:r>
          <w:r w:rsidR="003E7919" w:rsidRPr="000D4A19">
            <w:rPr>
              <w:rFonts w:cstheme="minorHAnsi"/>
              <w:sz w:val="24"/>
              <w:szCs w:val="24"/>
              <w:lang w:val="en-GB"/>
            </w:rPr>
            <w:t>lication</w:t>
          </w:r>
          <w:r w:rsidR="00220D29" w:rsidRPr="000D4A19">
            <w:rPr>
              <w:rFonts w:cstheme="minorHAnsi"/>
              <w:sz w:val="24"/>
              <w:szCs w:val="24"/>
              <w:lang w:val="en-GB"/>
            </w:rPr>
            <w:t xml:space="preserve"> </w:t>
          </w:r>
          <w:r w:rsidRPr="000D4A19">
            <w:rPr>
              <w:rFonts w:cstheme="minorHAnsi"/>
              <w:sz w:val="24"/>
              <w:szCs w:val="24"/>
              <w:lang w:val="en-GB"/>
            </w:rPr>
            <w:t>makes it possible for managers to supervise the handling of complaints and allows the Internal Control D</w:t>
          </w:r>
          <w:r w:rsidR="00B02586" w:rsidRPr="000D4A19">
            <w:rPr>
              <w:rFonts w:cstheme="minorHAnsi"/>
              <w:sz w:val="24"/>
              <w:szCs w:val="24"/>
              <w:lang w:val="en-GB"/>
            </w:rPr>
            <w:t>ivision</w:t>
          </w:r>
          <w:r w:rsidRPr="000D4A19">
            <w:rPr>
              <w:rFonts w:cstheme="minorHAnsi"/>
              <w:sz w:val="24"/>
              <w:szCs w:val="24"/>
              <w:lang w:val="en-GB"/>
            </w:rPr>
            <w:t>, in analysing the data of the application, to detect deficiencies in legal regulations and workflows and identify high-risk behaviour and individuals, allowin</w:t>
          </w:r>
          <w:r w:rsidR="00793D49" w:rsidRPr="000D4A19">
            <w:rPr>
              <w:rFonts w:cstheme="minorHAnsi"/>
              <w:sz w:val="24"/>
              <w:szCs w:val="24"/>
              <w:lang w:val="en-GB"/>
            </w:rPr>
            <w:t xml:space="preserve">g these issues to be addressed (for example, by proposing to the head of the police department to transfer a certain police officer). </w:t>
          </w:r>
        </w:p>
        <w:p w14:paraId="1A94E7AD" w14:textId="77777777" w:rsidR="00220D29" w:rsidRPr="000D4A19" w:rsidRDefault="00220D29" w:rsidP="0005126D">
          <w:pPr>
            <w:tabs>
              <w:tab w:val="num" w:pos="8222"/>
            </w:tabs>
            <w:spacing w:after="0" w:line="240" w:lineRule="auto"/>
            <w:jc w:val="both"/>
            <w:rPr>
              <w:rFonts w:cstheme="minorHAnsi"/>
              <w:sz w:val="24"/>
              <w:szCs w:val="24"/>
              <w:lang w:val="en-GB"/>
            </w:rPr>
          </w:pPr>
        </w:p>
        <w:p w14:paraId="2E3A063C" w14:textId="5B9BD7AE" w:rsidR="00236441" w:rsidRPr="00DD2B3E" w:rsidRDefault="0005126D" w:rsidP="00DD2B3E">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The GET believes that there is room for improvement in this area</w:t>
          </w:r>
          <w:r w:rsidR="00D8106E" w:rsidRPr="000D4A19">
            <w:rPr>
              <w:rFonts w:cstheme="minorHAnsi"/>
              <w:sz w:val="24"/>
              <w:szCs w:val="24"/>
              <w:lang w:val="en-GB"/>
            </w:rPr>
            <w:t xml:space="preserve">, also in light of the absence of any measures pertaining specifically </w:t>
          </w:r>
          <w:r w:rsidR="003E7919" w:rsidRPr="000D4A19">
            <w:rPr>
              <w:rFonts w:cstheme="minorHAnsi"/>
              <w:sz w:val="24"/>
              <w:szCs w:val="24"/>
              <w:lang w:val="en-GB"/>
            </w:rPr>
            <w:t xml:space="preserve">to </w:t>
          </w:r>
          <w:r w:rsidR="00D8106E" w:rsidRPr="000D4A19">
            <w:rPr>
              <w:rFonts w:cstheme="minorHAnsi"/>
              <w:sz w:val="24"/>
              <w:szCs w:val="24"/>
              <w:lang w:val="en-GB"/>
            </w:rPr>
            <w:t>the police in the general Anti-Corruption Strategy and Action Plans</w:t>
          </w:r>
          <w:r w:rsidRPr="000D4A19">
            <w:rPr>
              <w:rFonts w:cstheme="minorHAnsi"/>
              <w:sz w:val="24"/>
              <w:szCs w:val="24"/>
              <w:lang w:val="en-GB"/>
            </w:rPr>
            <w:t xml:space="preserve">. </w:t>
          </w:r>
          <w:r w:rsidR="00027CFE" w:rsidRPr="000D4A19">
            <w:rPr>
              <w:rFonts w:cstheme="minorHAnsi"/>
              <w:sz w:val="24"/>
              <w:szCs w:val="24"/>
              <w:lang w:val="en-GB"/>
            </w:rPr>
            <w:t xml:space="preserve">In this context, </w:t>
          </w:r>
          <w:r w:rsidR="003E7919" w:rsidRPr="000D4A19">
            <w:rPr>
              <w:rFonts w:cstheme="minorHAnsi"/>
              <w:sz w:val="24"/>
              <w:szCs w:val="24"/>
              <w:lang w:val="en-GB"/>
            </w:rPr>
            <w:t>the GET</w:t>
          </w:r>
          <w:r w:rsidR="00027CFE" w:rsidRPr="000D4A19">
            <w:rPr>
              <w:rFonts w:cstheme="minorHAnsi"/>
              <w:sz w:val="24"/>
              <w:szCs w:val="24"/>
              <w:lang w:val="en-GB"/>
            </w:rPr>
            <w:t xml:space="preserve"> was for example surprised to hear that fines can still be paid directly in cash to police officers</w:t>
          </w:r>
          <w:r w:rsidR="00896C4D">
            <w:rPr>
              <w:rFonts w:cstheme="minorHAnsi"/>
              <w:sz w:val="24"/>
              <w:szCs w:val="24"/>
              <w:lang w:val="en-GB"/>
            </w:rPr>
            <w:t xml:space="preserve">. Notwithstanding the </w:t>
          </w:r>
          <w:r w:rsidR="00F556A3" w:rsidRPr="000D4A19">
            <w:rPr>
              <w:rFonts w:cstheme="minorHAnsi"/>
              <w:sz w:val="24"/>
              <w:szCs w:val="24"/>
              <w:lang w:val="en-GB"/>
            </w:rPr>
            <w:t>arguments from the authorities that it would be very costly</w:t>
          </w:r>
          <w:r w:rsidR="00896C4D">
            <w:rPr>
              <w:rFonts w:cstheme="minorHAnsi"/>
              <w:sz w:val="24"/>
              <w:szCs w:val="24"/>
              <w:lang w:val="en-GB"/>
            </w:rPr>
            <w:t xml:space="preserve"> </w:t>
          </w:r>
          <w:r w:rsidR="00F556A3" w:rsidRPr="000D4A19">
            <w:rPr>
              <w:rFonts w:cstheme="minorHAnsi"/>
              <w:sz w:val="24"/>
              <w:szCs w:val="24"/>
              <w:lang w:val="en-GB"/>
            </w:rPr>
            <w:t>and in some cases technically difficult to have this practice</w:t>
          </w:r>
          <w:r w:rsidR="00896C4D">
            <w:rPr>
              <w:rFonts w:cstheme="minorHAnsi"/>
              <w:sz w:val="24"/>
              <w:szCs w:val="24"/>
              <w:lang w:val="en-GB"/>
            </w:rPr>
            <w:t xml:space="preserve"> phased out (</w:t>
          </w:r>
          <w:r w:rsidR="00F556A3" w:rsidRPr="000D4A19">
            <w:rPr>
              <w:rFonts w:cstheme="minorHAnsi"/>
              <w:sz w:val="24"/>
              <w:szCs w:val="24"/>
              <w:lang w:val="en-GB"/>
            </w:rPr>
            <w:t>especially in light of the fact that</w:t>
          </w:r>
          <w:r w:rsidR="00896C4D">
            <w:rPr>
              <w:rFonts w:cstheme="minorHAnsi"/>
              <w:sz w:val="24"/>
              <w:szCs w:val="24"/>
              <w:lang w:val="en-GB"/>
            </w:rPr>
            <w:t xml:space="preserve"> more than</w:t>
          </w:r>
          <w:r w:rsidR="00F556A3" w:rsidRPr="000D4A19">
            <w:rPr>
              <w:rFonts w:cstheme="minorHAnsi"/>
              <w:sz w:val="24"/>
              <w:szCs w:val="24"/>
              <w:lang w:val="en-GB"/>
            </w:rPr>
            <w:t xml:space="preserve"> 35% of fines are collected from non-residents of Croatia)</w:t>
          </w:r>
          <w:r w:rsidR="00896C4D">
            <w:rPr>
              <w:rFonts w:cstheme="minorHAnsi"/>
              <w:sz w:val="24"/>
              <w:szCs w:val="24"/>
              <w:lang w:val="en-GB"/>
            </w:rPr>
            <w:t>, the GET is of the strong opinion that th</w:t>
          </w:r>
          <w:r w:rsidR="00DD2B3E">
            <w:rPr>
              <w:rFonts w:cstheme="minorHAnsi"/>
              <w:sz w:val="24"/>
              <w:szCs w:val="24"/>
              <w:lang w:val="en-GB"/>
            </w:rPr>
            <w:t xml:space="preserve">e practice of paying fines in cash directly to police officers </w:t>
          </w:r>
          <w:r w:rsidR="00896C4D">
            <w:rPr>
              <w:rFonts w:cstheme="minorHAnsi"/>
              <w:sz w:val="24"/>
              <w:szCs w:val="24"/>
              <w:lang w:val="en-GB"/>
            </w:rPr>
            <w:t>should be abandoned</w:t>
          </w:r>
          <w:r w:rsidR="00027CFE" w:rsidRPr="000D4A19">
            <w:rPr>
              <w:rFonts w:cstheme="minorHAnsi"/>
              <w:sz w:val="24"/>
              <w:szCs w:val="24"/>
              <w:lang w:val="en-GB"/>
            </w:rPr>
            <w:t>.</w:t>
          </w:r>
          <w:r w:rsidR="003E7919" w:rsidRPr="000D4A19">
            <w:rPr>
              <w:rFonts w:cstheme="minorHAnsi"/>
              <w:sz w:val="24"/>
              <w:szCs w:val="24"/>
              <w:lang w:val="en-GB"/>
            </w:rPr>
            <w:t xml:space="preserve"> </w:t>
          </w:r>
          <w:r w:rsidR="00DD2B3E">
            <w:rPr>
              <w:rFonts w:cstheme="minorHAnsi"/>
              <w:sz w:val="24"/>
              <w:szCs w:val="24"/>
              <w:lang w:val="en-GB"/>
            </w:rPr>
            <w:t>When it comes to analysing risks in the police force, the GET notes that</w:t>
          </w:r>
          <w:r w:rsidR="00CF36E7">
            <w:rPr>
              <w:rFonts w:cstheme="minorHAnsi"/>
              <w:sz w:val="24"/>
              <w:szCs w:val="24"/>
              <w:lang w:val="en-GB"/>
            </w:rPr>
            <w:t xml:space="preserve"> the emphasis in this regard is on the border police</w:t>
          </w:r>
          <w:r w:rsidR="00DD681C">
            <w:rPr>
              <w:rFonts w:cstheme="minorHAnsi"/>
              <w:sz w:val="24"/>
              <w:szCs w:val="24"/>
              <w:lang w:val="en-GB"/>
            </w:rPr>
            <w:t xml:space="preserve"> and that </w:t>
          </w:r>
          <w:r w:rsidR="00CF36E7">
            <w:rPr>
              <w:rFonts w:cstheme="minorHAnsi"/>
              <w:sz w:val="24"/>
              <w:szCs w:val="24"/>
              <w:lang w:val="en-GB"/>
            </w:rPr>
            <w:t>t</w:t>
          </w:r>
          <w:r w:rsidR="00DD2B3E">
            <w:rPr>
              <w:rFonts w:cstheme="minorHAnsi"/>
              <w:sz w:val="24"/>
              <w:szCs w:val="24"/>
              <w:lang w:val="en-GB"/>
            </w:rPr>
            <w:t>he</w:t>
          </w:r>
          <w:r w:rsidR="00525353" w:rsidRPr="00DD2B3E">
            <w:rPr>
              <w:rFonts w:cstheme="minorHAnsi"/>
              <w:sz w:val="24"/>
              <w:szCs w:val="24"/>
              <w:lang w:val="en-GB"/>
            </w:rPr>
            <w:t xml:space="preserve"> analysis on which the plan for the border police was developed is </w:t>
          </w:r>
          <w:r w:rsidR="00220D29" w:rsidRPr="00DD2B3E">
            <w:rPr>
              <w:rFonts w:cstheme="minorHAnsi"/>
              <w:sz w:val="24"/>
              <w:szCs w:val="24"/>
              <w:lang w:val="en-GB"/>
            </w:rPr>
            <w:t xml:space="preserve">by now more than 8 years old </w:t>
          </w:r>
          <w:r w:rsidR="00DD681C">
            <w:rPr>
              <w:rFonts w:cstheme="minorHAnsi"/>
              <w:sz w:val="24"/>
              <w:szCs w:val="24"/>
              <w:lang w:val="en-GB"/>
            </w:rPr>
            <w:t>(</w:t>
          </w:r>
          <w:r w:rsidR="00220D29" w:rsidRPr="00DD2B3E">
            <w:rPr>
              <w:rFonts w:cstheme="minorHAnsi"/>
              <w:sz w:val="24"/>
              <w:szCs w:val="24"/>
              <w:lang w:val="en-GB"/>
            </w:rPr>
            <w:t>a</w:t>
          </w:r>
          <w:r w:rsidR="00525353" w:rsidRPr="00DD2B3E">
            <w:rPr>
              <w:rFonts w:cstheme="minorHAnsi"/>
              <w:sz w:val="24"/>
              <w:szCs w:val="24"/>
              <w:lang w:val="en-GB"/>
            </w:rPr>
            <w:t xml:space="preserve"> period of time in which </w:t>
          </w:r>
          <w:r w:rsidR="00E47993" w:rsidRPr="00DD2B3E">
            <w:rPr>
              <w:rFonts w:cstheme="minorHAnsi"/>
              <w:sz w:val="24"/>
              <w:szCs w:val="24"/>
              <w:lang w:val="en-GB"/>
            </w:rPr>
            <w:t xml:space="preserve">certain </w:t>
          </w:r>
          <w:r w:rsidR="00525353" w:rsidRPr="00DD2B3E">
            <w:rPr>
              <w:rFonts w:cstheme="minorHAnsi"/>
              <w:sz w:val="24"/>
              <w:szCs w:val="24"/>
              <w:lang w:val="en-GB"/>
            </w:rPr>
            <w:t>vulnerabilities may have changed</w:t>
          </w:r>
          <w:r w:rsidR="00027CFE" w:rsidRPr="00DD2B3E">
            <w:rPr>
              <w:rFonts w:cstheme="minorHAnsi"/>
              <w:sz w:val="24"/>
              <w:szCs w:val="24"/>
              <w:lang w:val="en-GB"/>
            </w:rPr>
            <w:t xml:space="preserve">, and may perhaps be too heavily reliant on </w:t>
          </w:r>
          <w:r w:rsidR="00E47993" w:rsidRPr="00DD2B3E">
            <w:rPr>
              <w:rFonts w:cstheme="minorHAnsi"/>
              <w:sz w:val="24"/>
              <w:szCs w:val="24"/>
              <w:lang w:val="en-GB"/>
            </w:rPr>
            <w:t>rotation as a preventive measure</w:t>
          </w:r>
          <w:r w:rsidR="00DD681C">
            <w:rPr>
              <w:rFonts w:cstheme="minorHAnsi"/>
              <w:sz w:val="24"/>
              <w:szCs w:val="24"/>
              <w:lang w:val="en-GB"/>
            </w:rPr>
            <w:t>)</w:t>
          </w:r>
          <w:r w:rsidR="00E47993" w:rsidRPr="00DD2B3E">
            <w:rPr>
              <w:rFonts w:cstheme="minorHAnsi"/>
              <w:sz w:val="24"/>
              <w:szCs w:val="24"/>
              <w:lang w:val="en-GB"/>
            </w:rPr>
            <w:t xml:space="preserve">. </w:t>
          </w:r>
          <w:r w:rsidR="00525353" w:rsidRPr="00DD2B3E">
            <w:rPr>
              <w:rFonts w:cstheme="minorHAnsi"/>
              <w:sz w:val="24"/>
              <w:szCs w:val="24"/>
              <w:lang w:val="en-GB"/>
            </w:rPr>
            <w:t xml:space="preserve">In addition, </w:t>
          </w:r>
          <w:r w:rsidR="00CF36E7">
            <w:rPr>
              <w:rFonts w:cstheme="minorHAnsi"/>
              <w:sz w:val="24"/>
              <w:szCs w:val="24"/>
              <w:lang w:val="en-GB"/>
            </w:rPr>
            <w:t xml:space="preserve">as regards the police as a whole, </w:t>
          </w:r>
          <w:r w:rsidR="00525353" w:rsidRPr="00DD2B3E">
            <w:rPr>
              <w:rFonts w:cstheme="minorHAnsi"/>
              <w:sz w:val="24"/>
              <w:szCs w:val="24"/>
              <w:lang w:val="en-GB"/>
            </w:rPr>
            <w:t xml:space="preserve">while the GET </w:t>
          </w:r>
          <w:r w:rsidR="00236441" w:rsidRPr="00DD2B3E">
            <w:rPr>
              <w:rFonts w:cstheme="minorHAnsi"/>
              <w:sz w:val="24"/>
              <w:szCs w:val="24"/>
              <w:lang w:val="en-GB"/>
            </w:rPr>
            <w:t>appreciates</w:t>
          </w:r>
          <w:r w:rsidR="00525353" w:rsidRPr="00DD2B3E">
            <w:rPr>
              <w:rFonts w:cstheme="minorHAnsi"/>
              <w:sz w:val="24"/>
              <w:szCs w:val="24"/>
              <w:lang w:val="en-GB"/>
            </w:rPr>
            <w:t xml:space="preserve"> the analyses by the Internal Control D</w:t>
          </w:r>
          <w:r w:rsidR="000D6795" w:rsidRPr="00DD2B3E">
            <w:rPr>
              <w:rFonts w:cstheme="minorHAnsi"/>
              <w:sz w:val="24"/>
              <w:szCs w:val="24"/>
              <w:lang w:val="en-GB"/>
            </w:rPr>
            <w:t>ivision</w:t>
          </w:r>
          <w:r w:rsidR="00525353" w:rsidRPr="00DD2B3E">
            <w:rPr>
              <w:rFonts w:cstheme="minorHAnsi"/>
              <w:sz w:val="24"/>
              <w:szCs w:val="24"/>
              <w:lang w:val="en-GB"/>
            </w:rPr>
            <w:t xml:space="preserve"> of the complaints received</w:t>
          </w:r>
          <w:r w:rsidR="00E47993" w:rsidRPr="00DD2B3E">
            <w:rPr>
              <w:rFonts w:cstheme="minorHAnsi"/>
              <w:sz w:val="24"/>
              <w:szCs w:val="24"/>
              <w:lang w:val="en-GB"/>
            </w:rPr>
            <w:t xml:space="preserve"> (and the development of an app</w:t>
          </w:r>
          <w:r w:rsidR="00FD218E" w:rsidRPr="00DD2B3E">
            <w:rPr>
              <w:rFonts w:cstheme="minorHAnsi"/>
              <w:sz w:val="24"/>
              <w:szCs w:val="24"/>
              <w:lang w:val="en-GB"/>
            </w:rPr>
            <w:t>lication</w:t>
          </w:r>
          <w:r w:rsidR="00E47993" w:rsidRPr="00DD2B3E">
            <w:rPr>
              <w:rFonts w:cstheme="minorHAnsi"/>
              <w:sz w:val="24"/>
              <w:szCs w:val="24"/>
              <w:lang w:val="en-GB"/>
            </w:rPr>
            <w:t xml:space="preserve"> to track th</w:t>
          </w:r>
          <w:r w:rsidR="00FD2A6A" w:rsidRPr="00DD2B3E">
            <w:rPr>
              <w:rFonts w:cstheme="minorHAnsi"/>
              <w:sz w:val="24"/>
              <w:szCs w:val="24"/>
              <w:lang w:val="en-GB"/>
            </w:rPr>
            <w:t>e follow</w:t>
          </w:r>
          <w:r w:rsidR="00060F45" w:rsidRPr="00DD2B3E">
            <w:rPr>
              <w:rFonts w:cstheme="minorHAnsi"/>
              <w:sz w:val="24"/>
              <w:szCs w:val="24"/>
              <w:lang w:val="en-GB"/>
            </w:rPr>
            <w:t>-</w:t>
          </w:r>
          <w:r w:rsidR="00FD2A6A" w:rsidRPr="00DD2B3E">
            <w:rPr>
              <w:rFonts w:cstheme="minorHAnsi"/>
              <w:sz w:val="24"/>
              <w:szCs w:val="24"/>
              <w:lang w:val="en-GB"/>
            </w:rPr>
            <w:t>up to th</w:t>
          </w:r>
          <w:r w:rsidR="00E47993" w:rsidRPr="00DD2B3E">
            <w:rPr>
              <w:rFonts w:cstheme="minorHAnsi"/>
              <w:sz w:val="24"/>
              <w:szCs w:val="24"/>
              <w:lang w:val="en-GB"/>
            </w:rPr>
            <w:t xml:space="preserve">is process throughout the police), it considers </w:t>
          </w:r>
          <w:r w:rsidR="008F5E0F" w:rsidRPr="00DD2B3E">
            <w:rPr>
              <w:rFonts w:cstheme="minorHAnsi"/>
              <w:sz w:val="24"/>
              <w:szCs w:val="24"/>
              <w:lang w:val="en-GB"/>
            </w:rPr>
            <w:t xml:space="preserve">at the same time </w:t>
          </w:r>
          <w:r w:rsidR="00236441" w:rsidRPr="00DD2B3E">
            <w:rPr>
              <w:rFonts w:cstheme="minorHAnsi"/>
              <w:sz w:val="24"/>
              <w:szCs w:val="24"/>
              <w:lang w:val="en-GB"/>
            </w:rPr>
            <w:t xml:space="preserve">this </w:t>
          </w:r>
          <w:r w:rsidR="00027CFE" w:rsidRPr="00DD2B3E">
            <w:rPr>
              <w:rFonts w:cstheme="minorHAnsi"/>
              <w:sz w:val="24"/>
              <w:szCs w:val="24"/>
              <w:lang w:val="en-GB"/>
            </w:rPr>
            <w:t xml:space="preserve">approach could lead to certain blind spots. </w:t>
          </w:r>
        </w:p>
        <w:p w14:paraId="2E845FE0" w14:textId="77777777" w:rsidR="00236441" w:rsidRPr="000D4A19" w:rsidRDefault="00236441" w:rsidP="00236441">
          <w:pPr>
            <w:tabs>
              <w:tab w:val="left" w:pos="709"/>
              <w:tab w:val="num" w:pos="8222"/>
            </w:tabs>
            <w:spacing w:after="0" w:line="240" w:lineRule="auto"/>
            <w:jc w:val="both"/>
            <w:rPr>
              <w:rFonts w:cstheme="minorHAnsi"/>
              <w:sz w:val="24"/>
              <w:szCs w:val="24"/>
              <w:lang w:val="en-GB"/>
            </w:rPr>
          </w:pPr>
        </w:p>
        <w:p w14:paraId="33412510" w14:textId="22FBA454" w:rsidR="00FB2BF1" w:rsidRPr="002B24B1" w:rsidRDefault="00A60FF8" w:rsidP="00236441">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The GET takes note of the arguments of the authorities that many corruption risks in the (border) police have been reduced with Croatia’s accession to the EU and the fulfilment of the technical conditions for accession to the Schengen area, as well as the better equipment of the border police (video surveillance etc.). </w:t>
          </w:r>
          <w:r w:rsidR="00035C99" w:rsidRPr="000D4A19">
            <w:rPr>
              <w:rFonts w:cstheme="minorHAnsi"/>
              <w:sz w:val="24"/>
              <w:szCs w:val="24"/>
              <w:lang w:val="en-GB"/>
            </w:rPr>
            <w:t>For the reasons outlined above, i</w:t>
          </w:r>
          <w:r w:rsidRPr="000D4A19">
            <w:rPr>
              <w:rFonts w:cstheme="minorHAnsi"/>
              <w:sz w:val="24"/>
              <w:szCs w:val="24"/>
              <w:lang w:val="en-GB"/>
            </w:rPr>
            <w:t xml:space="preserve">t however sees great value in having a risk assessment focusing not just on the border police, but the police as a whole. </w:t>
          </w:r>
          <w:r w:rsidR="00027CFE" w:rsidRPr="000D4A19">
            <w:rPr>
              <w:rFonts w:cstheme="minorHAnsi"/>
              <w:sz w:val="24"/>
              <w:szCs w:val="24"/>
              <w:lang w:val="en-GB"/>
            </w:rPr>
            <w:t>A</w:t>
          </w:r>
          <w:r w:rsidR="00E47993" w:rsidRPr="000D4A19">
            <w:rPr>
              <w:rFonts w:cstheme="minorHAnsi"/>
              <w:sz w:val="24"/>
              <w:szCs w:val="24"/>
              <w:lang w:val="en-GB"/>
            </w:rPr>
            <w:t xml:space="preserve"> more pro-active approach </w:t>
          </w:r>
          <w:r w:rsidR="00027CFE" w:rsidRPr="000D4A19">
            <w:rPr>
              <w:rFonts w:cstheme="minorHAnsi"/>
              <w:sz w:val="24"/>
              <w:szCs w:val="24"/>
              <w:lang w:val="en-GB"/>
            </w:rPr>
            <w:t xml:space="preserve">would need </w:t>
          </w:r>
          <w:r w:rsidR="00E47993" w:rsidRPr="000D4A19">
            <w:rPr>
              <w:rFonts w:cstheme="minorHAnsi"/>
              <w:sz w:val="24"/>
              <w:szCs w:val="24"/>
              <w:lang w:val="en-GB"/>
            </w:rPr>
            <w:t>to be developed</w:t>
          </w:r>
          <w:r w:rsidR="008F5E0F" w:rsidRPr="000D4A19">
            <w:rPr>
              <w:rFonts w:cstheme="minorHAnsi"/>
              <w:sz w:val="24"/>
              <w:szCs w:val="24"/>
              <w:lang w:val="en-GB"/>
            </w:rPr>
            <w:t xml:space="preserve"> (which is reliant </w:t>
          </w:r>
          <w:r w:rsidR="007A42EA" w:rsidRPr="000D4A19">
            <w:rPr>
              <w:rFonts w:cstheme="minorHAnsi"/>
              <w:sz w:val="24"/>
              <w:szCs w:val="24"/>
              <w:lang w:val="en-GB"/>
            </w:rPr>
            <w:t>not just</w:t>
          </w:r>
          <w:r w:rsidR="008F5E0F" w:rsidRPr="000D4A19">
            <w:rPr>
              <w:rFonts w:cstheme="minorHAnsi"/>
              <w:sz w:val="24"/>
              <w:szCs w:val="24"/>
              <w:lang w:val="en-GB"/>
            </w:rPr>
            <w:t xml:space="preserve"> </w:t>
          </w:r>
          <w:r w:rsidR="00060F45" w:rsidRPr="000D4A19">
            <w:rPr>
              <w:rFonts w:cstheme="minorHAnsi"/>
              <w:sz w:val="24"/>
              <w:szCs w:val="24"/>
              <w:lang w:val="en-GB"/>
            </w:rPr>
            <w:t xml:space="preserve">on </w:t>
          </w:r>
          <w:r w:rsidR="008F5E0F" w:rsidRPr="000D4A19">
            <w:rPr>
              <w:rFonts w:cstheme="minorHAnsi"/>
              <w:sz w:val="24"/>
              <w:szCs w:val="24"/>
              <w:lang w:val="en-GB"/>
            </w:rPr>
            <w:t>information from complaints)</w:t>
          </w:r>
          <w:r w:rsidR="0060660F" w:rsidRPr="000D4A19">
            <w:rPr>
              <w:rFonts w:cstheme="minorHAnsi"/>
              <w:sz w:val="24"/>
              <w:szCs w:val="24"/>
              <w:lang w:val="en-GB"/>
            </w:rPr>
            <w:t xml:space="preserve"> </w:t>
          </w:r>
          <w:r w:rsidR="00E47993" w:rsidRPr="000D4A19">
            <w:rPr>
              <w:rFonts w:cstheme="minorHAnsi"/>
              <w:sz w:val="24"/>
              <w:szCs w:val="24"/>
              <w:lang w:val="en-GB"/>
            </w:rPr>
            <w:t>by carrying out a preventive analysis of corruption risk-prone services, situations and procedures</w:t>
          </w:r>
          <w:r w:rsidR="00027CFE" w:rsidRPr="000D4A19">
            <w:rPr>
              <w:rFonts w:cstheme="minorHAnsi"/>
              <w:sz w:val="24"/>
              <w:szCs w:val="24"/>
              <w:lang w:val="en-GB"/>
            </w:rPr>
            <w:t>. Such an analysis</w:t>
          </w:r>
          <w:r w:rsidR="00220D29" w:rsidRPr="000D4A19">
            <w:rPr>
              <w:rFonts w:cstheme="minorHAnsi"/>
              <w:sz w:val="24"/>
              <w:szCs w:val="24"/>
              <w:lang w:val="en-GB"/>
            </w:rPr>
            <w:t xml:space="preserve"> could also look more closely into the possible reasons for the high number of respondents in the abovementioned Eurobarometer believing that the taking of bribes and use of power for personal gain is widespread in the police. </w:t>
          </w:r>
          <w:r w:rsidR="00E47993" w:rsidRPr="000D4A19">
            <w:rPr>
              <w:rFonts w:cstheme="minorHAnsi"/>
              <w:sz w:val="24"/>
              <w:szCs w:val="24"/>
              <w:lang w:val="en-GB"/>
            </w:rPr>
            <w:t>Such a risk analysis necessitates the use of a wide variety of sources, in addition to the current analyses of c</w:t>
          </w:r>
          <w:r w:rsidR="008F5E0F" w:rsidRPr="000D4A19">
            <w:rPr>
              <w:rFonts w:cstheme="minorHAnsi"/>
              <w:sz w:val="24"/>
              <w:szCs w:val="24"/>
              <w:lang w:val="en-GB"/>
            </w:rPr>
            <w:t xml:space="preserve">omplaints, such as IT logs, information </w:t>
          </w:r>
          <w:r w:rsidR="008718E1" w:rsidRPr="000D4A19">
            <w:rPr>
              <w:rFonts w:cstheme="minorHAnsi"/>
              <w:sz w:val="24"/>
              <w:szCs w:val="24"/>
              <w:lang w:val="en-GB"/>
            </w:rPr>
            <w:t xml:space="preserve">from screening </w:t>
          </w:r>
          <w:r w:rsidR="00E47993" w:rsidRPr="000D4A19">
            <w:rPr>
              <w:rFonts w:cstheme="minorHAnsi"/>
              <w:sz w:val="24"/>
              <w:szCs w:val="24"/>
              <w:lang w:val="en-GB"/>
            </w:rPr>
            <w:t>process</w:t>
          </w:r>
          <w:r w:rsidR="008718E1" w:rsidRPr="000D4A19">
            <w:rPr>
              <w:rFonts w:cstheme="minorHAnsi"/>
              <w:sz w:val="24"/>
              <w:szCs w:val="24"/>
              <w:lang w:val="en-GB"/>
            </w:rPr>
            <w:t>es</w:t>
          </w:r>
          <w:r w:rsidR="00E47993" w:rsidRPr="000D4A19">
            <w:rPr>
              <w:rFonts w:cstheme="minorHAnsi"/>
              <w:sz w:val="24"/>
              <w:szCs w:val="24"/>
              <w:lang w:val="en-GB"/>
            </w:rPr>
            <w:t xml:space="preserve">, disciplinary cases, possible staff surveys, etc. </w:t>
          </w:r>
          <w:r w:rsidR="00841324" w:rsidRPr="000D4A19">
            <w:rPr>
              <w:rFonts w:cstheme="minorHAnsi"/>
              <w:sz w:val="24"/>
              <w:szCs w:val="24"/>
              <w:lang w:val="en-GB"/>
            </w:rPr>
            <w:t>and should lead to the development of a targeted integrity policy, either as a stand</w:t>
          </w:r>
          <w:r w:rsidR="008718E1" w:rsidRPr="000D4A19">
            <w:rPr>
              <w:rFonts w:cstheme="minorHAnsi"/>
              <w:sz w:val="24"/>
              <w:szCs w:val="24"/>
              <w:lang w:val="en-GB"/>
            </w:rPr>
            <w:t>-</w:t>
          </w:r>
          <w:r w:rsidR="00841324" w:rsidRPr="000D4A19">
            <w:rPr>
              <w:rFonts w:cstheme="minorHAnsi"/>
              <w:sz w:val="24"/>
              <w:szCs w:val="24"/>
              <w:lang w:val="en-GB"/>
            </w:rPr>
            <w:t xml:space="preserve">alone strategy or as part of a future general Anti-Corruption Strategy and Action Plan. </w:t>
          </w:r>
          <w:r w:rsidR="00DD681C">
            <w:rPr>
              <w:rFonts w:cstheme="minorHAnsi"/>
              <w:sz w:val="24"/>
              <w:szCs w:val="24"/>
              <w:lang w:val="en-GB"/>
            </w:rPr>
            <w:t xml:space="preserve">In light of the two preceding paragraphs, </w:t>
          </w:r>
          <w:r w:rsidR="00E47993" w:rsidRPr="000D4A19">
            <w:rPr>
              <w:rFonts w:cstheme="minorHAnsi"/>
              <w:b/>
              <w:sz w:val="24"/>
              <w:szCs w:val="24"/>
              <w:lang w:val="en-GB"/>
            </w:rPr>
            <w:t xml:space="preserve">GRECO recommends </w:t>
          </w:r>
          <w:bookmarkStart w:id="152" w:name="_Hlk26535843"/>
          <w:bookmarkStart w:id="153" w:name="_Hlk22745707"/>
          <w:r w:rsidR="00E47993" w:rsidRPr="000D4A19">
            <w:rPr>
              <w:rFonts w:cstheme="minorHAnsi"/>
              <w:b/>
              <w:sz w:val="24"/>
              <w:szCs w:val="24"/>
              <w:lang w:val="en-GB"/>
            </w:rPr>
            <w:t xml:space="preserve">that </w:t>
          </w:r>
          <w:r w:rsidR="00CF36E7">
            <w:rPr>
              <w:rFonts w:cstheme="minorHAnsi"/>
              <w:b/>
              <w:sz w:val="24"/>
              <w:szCs w:val="24"/>
              <w:lang w:val="en-GB"/>
            </w:rPr>
            <w:t xml:space="preserve">(i) the practice of paying fines directly in cash to police officers be abandoned and (ii) </w:t>
          </w:r>
          <w:r w:rsidR="00E47993" w:rsidRPr="000D4A19">
            <w:rPr>
              <w:rFonts w:cstheme="minorHAnsi"/>
              <w:b/>
              <w:sz w:val="24"/>
              <w:szCs w:val="24"/>
              <w:lang w:val="en-GB"/>
            </w:rPr>
            <w:t xml:space="preserve">a comprehensive risk assessment of corruption prone areas and activities be undertaken in the police, to identify problems and emerging trends, and that the data is used for the pro-active design of </w:t>
          </w:r>
          <w:r w:rsidR="00841324" w:rsidRPr="000D4A19">
            <w:rPr>
              <w:rFonts w:cstheme="minorHAnsi"/>
              <w:b/>
              <w:sz w:val="24"/>
              <w:szCs w:val="24"/>
              <w:lang w:val="en-GB"/>
            </w:rPr>
            <w:t xml:space="preserve">an </w:t>
          </w:r>
          <w:r w:rsidR="00E47993" w:rsidRPr="000D4A19">
            <w:rPr>
              <w:rFonts w:cstheme="minorHAnsi"/>
              <w:b/>
              <w:sz w:val="24"/>
              <w:szCs w:val="24"/>
              <w:lang w:val="en-GB"/>
            </w:rPr>
            <w:t>integrity and anti-corruption</w:t>
          </w:r>
          <w:r w:rsidR="00841324" w:rsidRPr="000D4A19">
            <w:rPr>
              <w:rFonts w:cstheme="minorHAnsi"/>
              <w:b/>
              <w:sz w:val="24"/>
              <w:szCs w:val="24"/>
              <w:lang w:val="en-GB"/>
            </w:rPr>
            <w:t xml:space="preserve"> strategy for the police</w:t>
          </w:r>
          <w:bookmarkEnd w:id="152"/>
          <w:r w:rsidR="00E47993" w:rsidRPr="000D4A19">
            <w:rPr>
              <w:rFonts w:cstheme="minorHAnsi"/>
              <w:b/>
              <w:sz w:val="24"/>
              <w:szCs w:val="24"/>
              <w:lang w:val="en-GB"/>
            </w:rPr>
            <w:t>.</w:t>
          </w:r>
          <w:bookmarkEnd w:id="153"/>
          <w:r w:rsidR="00E47993" w:rsidRPr="000D4A19">
            <w:rPr>
              <w:rFonts w:cstheme="minorHAnsi"/>
              <w:b/>
              <w:sz w:val="24"/>
              <w:szCs w:val="24"/>
              <w:lang w:val="en-GB"/>
            </w:rPr>
            <w:t xml:space="preserve"> </w:t>
          </w:r>
        </w:p>
        <w:p w14:paraId="44CFFABD" w14:textId="77777777" w:rsidR="00841324" w:rsidRPr="000D4A19" w:rsidRDefault="00841324" w:rsidP="00236441">
          <w:pPr>
            <w:tabs>
              <w:tab w:val="left" w:pos="709"/>
              <w:tab w:val="num" w:pos="8222"/>
            </w:tabs>
            <w:spacing w:after="0" w:line="240" w:lineRule="auto"/>
            <w:jc w:val="both"/>
            <w:rPr>
              <w:rFonts w:cstheme="minorHAnsi"/>
              <w:sz w:val="24"/>
              <w:szCs w:val="24"/>
              <w:lang w:val="en-GB"/>
            </w:rPr>
          </w:pPr>
        </w:p>
        <w:p w14:paraId="073AEA4B" w14:textId="7A3AF544" w:rsidR="00236441" w:rsidRPr="000D4A19" w:rsidRDefault="009919AC" w:rsidP="00236441">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154" w:name="_Toc479580457"/>
          <w:bookmarkStart w:id="155" w:name="_Toc4762881"/>
          <w:bookmarkStart w:id="156" w:name="_Toc25229326"/>
          <w:r w:rsidRPr="000D4A19">
            <w:rPr>
              <w:rFonts w:asciiTheme="minorHAnsi" w:hAnsiTheme="minorHAnsi"/>
              <w:b w:val="0"/>
              <w:i/>
              <w:color w:val="auto"/>
              <w:sz w:val="24"/>
              <w:szCs w:val="24"/>
              <w:lang w:val="en-GB"/>
            </w:rPr>
            <w:t>Handling undercover operations and contacts with informants and witnesses</w:t>
          </w:r>
          <w:bookmarkEnd w:id="154"/>
          <w:bookmarkEnd w:id="155"/>
          <w:bookmarkEnd w:id="156"/>
        </w:p>
        <w:p w14:paraId="233861C6" w14:textId="77777777" w:rsidR="00236441" w:rsidRPr="000D4A19" w:rsidRDefault="00236441" w:rsidP="00236441">
          <w:pPr>
            <w:spacing w:after="0" w:line="240" w:lineRule="auto"/>
            <w:rPr>
              <w:lang w:val="en-GB"/>
            </w:rPr>
          </w:pPr>
        </w:p>
        <w:p w14:paraId="7B0B5A05" w14:textId="4DF06BFB" w:rsidR="009919AC" w:rsidRPr="000D4A19" w:rsidRDefault="009919AC" w:rsidP="00236441">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ascii="Calibri" w:eastAsiaTheme="majorEastAsia" w:hAnsi="Calibri" w:cstheme="majorBidi"/>
              <w:bCs/>
              <w:sz w:val="24"/>
              <w:szCs w:val="24"/>
              <w:lang w:val="en-GB"/>
            </w:rPr>
            <w:t xml:space="preserve">The use of undercover agents and controlled deliveries is regulated by the Criminal Procedure Act (Article 332), the Police Duties and Powers Act (Article 5) and the Ordinance “On the manner of carrying out special investigative actions”, which </w:t>
          </w:r>
          <w:r w:rsidRPr="000D4A19">
            <w:rPr>
              <w:rFonts w:ascii="Calibri" w:eastAsiaTheme="majorEastAsia" w:hAnsi="Calibri" w:cstheme="majorBidi"/>
              <w:bCs/>
              <w:i/>
              <w:sz w:val="24"/>
              <w:szCs w:val="24"/>
              <w:lang w:val="en-GB"/>
            </w:rPr>
            <w:t>inter alia</w:t>
          </w:r>
          <w:r w:rsidRPr="000D4A19">
            <w:rPr>
              <w:rFonts w:ascii="Calibri" w:eastAsiaTheme="majorEastAsia" w:hAnsi="Calibri" w:cstheme="majorBidi"/>
              <w:bCs/>
              <w:sz w:val="24"/>
              <w:szCs w:val="24"/>
              <w:lang w:val="en-GB"/>
            </w:rPr>
            <w:t xml:space="preserve"> provide that such measures can only be used for a catalogue of serious offences (which for example includes various forms of corruption and abuse of power) in proportion to the seriousness of the offence, when an investigation cannot be otherwise conducted</w:t>
          </w:r>
          <w:r w:rsidR="00877281" w:rsidRPr="000D4A19">
            <w:rPr>
              <w:rFonts w:ascii="Calibri" w:eastAsiaTheme="majorEastAsia" w:hAnsi="Calibri" w:cstheme="majorBidi"/>
              <w:bCs/>
              <w:sz w:val="24"/>
              <w:szCs w:val="24"/>
              <w:lang w:val="en-GB"/>
            </w:rPr>
            <w:t>. Use of such measures</w:t>
          </w:r>
          <w:r w:rsidRPr="000D4A19">
            <w:rPr>
              <w:rFonts w:ascii="Calibri" w:eastAsiaTheme="majorEastAsia" w:hAnsi="Calibri" w:cstheme="majorBidi"/>
              <w:bCs/>
              <w:sz w:val="24"/>
              <w:szCs w:val="24"/>
              <w:lang w:val="en-GB"/>
            </w:rPr>
            <w:t xml:space="preserve"> cannot instigate the commission of a criminal offence. </w:t>
          </w:r>
        </w:p>
        <w:p w14:paraId="4F5B8567" w14:textId="77777777" w:rsidR="008F5E0F" w:rsidRPr="000D4A19" w:rsidRDefault="008F5E0F" w:rsidP="008F5E0F">
          <w:pPr>
            <w:tabs>
              <w:tab w:val="left" w:pos="709"/>
              <w:tab w:val="num" w:pos="8222"/>
            </w:tabs>
            <w:spacing w:after="0" w:line="240" w:lineRule="auto"/>
            <w:jc w:val="both"/>
            <w:rPr>
              <w:rFonts w:cstheme="minorHAnsi"/>
              <w:sz w:val="24"/>
              <w:szCs w:val="24"/>
              <w:lang w:val="en-GB"/>
            </w:rPr>
          </w:pPr>
        </w:p>
        <w:p w14:paraId="7D896786" w14:textId="1B6B53ED"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ascii="Calibri" w:eastAsiaTheme="majorEastAsia" w:hAnsi="Calibri" w:cstheme="majorBidi"/>
              <w:bCs/>
              <w:sz w:val="24"/>
              <w:szCs w:val="24"/>
              <w:lang w:val="en-GB"/>
            </w:rPr>
            <w:t xml:space="preserve">Rules are in place for the protection of witnesses and other persons who cooperate with the police, notably the Police Duties and Powers Act (which </w:t>
          </w:r>
          <w:r w:rsidRPr="000D4A19">
            <w:rPr>
              <w:rFonts w:ascii="Calibri" w:eastAsiaTheme="majorEastAsia" w:hAnsi="Calibri" w:cstheme="majorBidi"/>
              <w:bCs/>
              <w:i/>
              <w:sz w:val="24"/>
              <w:szCs w:val="24"/>
              <w:lang w:val="en-GB"/>
            </w:rPr>
            <w:t>inter alia</w:t>
          </w:r>
          <w:r w:rsidRPr="000D4A19">
            <w:rPr>
              <w:rFonts w:ascii="Calibri" w:eastAsiaTheme="majorEastAsia" w:hAnsi="Calibri" w:cstheme="majorBidi"/>
              <w:bCs/>
              <w:sz w:val="24"/>
              <w:szCs w:val="24"/>
              <w:lang w:val="en-GB"/>
            </w:rPr>
            <w:t xml:space="preserve"> provides in Article 23 that police officers are obligated to undertake measures to conceal the identity of a person from whom information was collected if revealing the identity of that person would pose a serious threat to his/her life, health, physical integrity or property, and is obligated to immediately inform his/her supervisor of this). Informants may be compensated for costs they make and can receive a monetary reward for the information provided. The conditions under which this is done and the monitoring of these funds is regulated by the Instruction on Operating Costs. The Code of Practice of Police </w:t>
          </w:r>
          <w:r w:rsidR="00027CFE" w:rsidRPr="000D4A19">
            <w:rPr>
              <w:rFonts w:ascii="Calibri" w:eastAsiaTheme="majorEastAsia" w:hAnsi="Calibri" w:cstheme="majorBidi"/>
              <w:bCs/>
              <w:sz w:val="24"/>
              <w:szCs w:val="24"/>
              <w:lang w:val="en-GB"/>
            </w:rPr>
            <w:t>Officers furthermore establishes</w:t>
          </w:r>
          <w:r w:rsidRPr="000D4A19">
            <w:rPr>
              <w:rFonts w:ascii="Calibri" w:eastAsiaTheme="majorEastAsia" w:hAnsi="Calibri" w:cstheme="majorBidi"/>
              <w:bCs/>
              <w:sz w:val="24"/>
              <w:szCs w:val="24"/>
              <w:lang w:val="en-GB"/>
            </w:rPr>
            <w:t xml:space="preserve"> that the personal data on informants and information providers is “classified” data</w:t>
          </w:r>
          <w:r w:rsidR="008F5E0F" w:rsidRPr="000D4A19">
            <w:rPr>
              <w:rFonts w:ascii="Calibri" w:eastAsiaTheme="majorEastAsia" w:hAnsi="Calibri" w:cstheme="majorBidi"/>
              <w:bCs/>
              <w:sz w:val="24"/>
              <w:szCs w:val="24"/>
              <w:lang w:val="en-GB"/>
            </w:rPr>
            <w:t>, requiring a high security clearance</w:t>
          </w:r>
          <w:r w:rsidR="00027CFE" w:rsidRPr="000D4A19">
            <w:rPr>
              <w:rFonts w:ascii="Calibri" w:eastAsiaTheme="majorEastAsia" w:hAnsi="Calibri" w:cstheme="majorBidi"/>
              <w:bCs/>
              <w:sz w:val="24"/>
              <w:szCs w:val="24"/>
              <w:lang w:val="en-GB"/>
            </w:rPr>
            <w:t xml:space="preserve"> for police officers</w:t>
          </w:r>
          <w:r w:rsidRPr="000D4A19">
            <w:rPr>
              <w:rFonts w:ascii="Calibri" w:eastAsiaTheme="majorEastAsia" w:hAnsi="Calibri" w:cstheme="majorBidi"/>
              <w:bCs/>
              <w:sz w:val="24"/>
              <w:szCs w:val="24"/>
              <w:lang w:val="en-GB"/>
            </w:rPr>
            <w:t xml:space="preserve">. The rules regarding the use of informants, the responsibilities of police officers </w:t>
          </w:r>
          <w:r w:rsidR="00236441" w:rsidRPr="000D4A19">
            <w:rPr>
              <w:rFonts w:ascii="Calibri" w:eastAsiaTheme="majorEastAsia" w:hAnsi="Calibri" w:cstheme="majorBidi"/>
              <w:bCs/>
              <w:sz w:val="24"/>
              <w:szCs w:val="24"/>
              <w:lang w:val="en-GB"/>
            </w:rPr>
            <w:t xml:space="preserve">contacting </w:t>
          </w:r>
          <w:r w:rsidRPr="000D4A19">
            <w:rPr>
              <w:rFonts w:ascii="Calibri" w:eastAsiaTheme="majorEastAsia" w:hAnsi="Calibri" w:cstheme="majorBidi"/>
              <w:bCs/>
              <w:sz w:val="24"/>
              <w:szCs w:val="24"/>
              <w:lang w:val="en-GB"/>
            </w:rPr>
            <w:t xml:space="preserve">informants and the responsibilities of their supervisors are regulated by the Instruction on Working with Informants, which is a classified document. </w:t>
          </w:r>
        </w:p>
        <w:p w14:paraId="1B558DAC" w14:textId="77777777" w:rsidR="009919AC" w:rsidRPr="000D4A19" w:rsidRDefault="009919AC" w:rsidP="004B7CAB">
          <w:pPr>
            <w:spacing w:after="0" w:line="240" w:lineRule="auto"/>
            <w:jc w:val="both"/>
            <w:rPr>
              <w:rFonts w:cstheme="minorHAnsi"/>
              <w:sz w:val="24"/>
              <w:szCs w:val="24"/>
              <w:lang w:val="en-GB"/>
            </w:rPr>
          </w:pPr>
        </w:p>
        <w:p w14:paraId="3C28BB0E"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157" w:name="_Toc4762882"/>
          <w:bookmarkStart w:id="158" w:name="_Toc25229327"/>
          <w:r w:rsidRPr="000D4A19">
            <w:rPr>
              <w:rFonts w:asciiTheme="minorHAnsi" w:hAnsiTheme="minorHAnsi"/>
              <w:b w:val="0"/>
              <w:i/>
              <w:color w:val="auto"/>
              <w:sz w:val="24"/>
              <w:szCs w:val="24"/>
              <w:lang w:val="en-GB"/>
            </w:rPr>
            <w:t>Ethical principles and rules of conduct</w:t>
          </w:r>
          <w:bookmarkEnd w:id="157"/>
          <w:bookmarkEnd w:id="158"/>
        </w:p>
        <w:p w14:paraId="019CCB13" w14:textId="65CF4BEE" w:rsidR="009919AC" w:rsidRPr="000D4A19" w:rsidRDefault="009919AC" w:rsidP="004B7CAB">
          <w:pPr>
            <w:spacing w:after="0" w:line="240" w:lineRule="auto"/>
            <w:jc w:val="both"/>
            <w:rPr>
              <w:rFonts w:cstheme="minorHAnsi"/>
              <w:sz w:val="24"/>
              <w:szCs w:val="24"/>
              <w:lang w:val="en-GB"/>
            </w:rPr>
          </w:pPr>
        </w:p>
        <w:p w14:paraId="33016885" w14:textId="3104882A" w:rsidR="00846E99" w:rsidRPr="000D4A19" w:rsidRDefault="009919AC" w:rsidP="00846E99">
          <w:pPr>
            <w:numPr>
              <w:ilvl w:val="0"/>
              <w:numId w:val="1"/>
            </w:numPr>
            <w:tabs>
              <w:tab w:val="left" w:pos="720"/>
              <w:tab w:val="num" w:pos="1557"/>
            </w:tabs>
            <w:spacing w:after="0" w:line="240" w:lineRule="auto"/>
            <w:ind w:left="0" w:firstLine="0"/>
            <w:jc w:val="both"/>
            <w:rPr>
              <w:rFonts w:cstheme="minorHAnsi"/>
              <w:sz w:val="24"/>
              <w:szCs w:val="24"/>
              <w:lang w:val="en-GB"/>
            </w:rPr>
          </w:pPr>
          <w:r w:rsidRPr="000D4A19">
            <w:rPr>
              <w:rFonts w:cstheme="minorHAnsi"/>
              <w:sz w:val="24"/>
              <w:szCs w:val="24"/>
              <w:lang w:val="en-GB"/>
            </w:rPr>
            <w:t>In accordance with Article 30 of the Police Act (which provides that a police officer is obliged to perform his/her duties in accordance with the law</w:t>
          </w:r>
          <w:r w:rsidR="00060F45" w:rsidRPr="000D4A19">
            <w:rPr>
              <w:rFonts w:cstheme="minorHAnsi"/>
              <w:sz w:val="24"/>
              <w:szCs w:val="24"/>
              <w:lang w:val="en-GB"/>
            </w:rPr>
            <w:t xml:space="preserve"> and</w:t>
          </w:r>
          <w:r w:rsidRPr="000D4A19">
            <w:rPr>
              <w:rFonts w:cstheme="minorHAnsi"/>
              <w:sz w:val="24"/>
              <w:szCs w:val="24"/>
              <w:lang w:val="en-GB"/>
            </w:rPr>
            <w:t xml:space="preserve"> other regulations, profession</w:t>
          </w:r>
          <w:r w:rsidR="00060F45" w:rsidRPr="000D4A19">
            <w:rPr>
              <w:rFonts w:cstheme="minorHAnsi"/>
              <w:sz w:val="24"/>
              <w:szCs w:val="24"/>
              <w:lang w:val="en-GB"/>
            </w:rPr>
            <w:t>al regulations</w:t>
          </w:r>
          <w:r w:rsidRPr="000D4A19">
            <w:rPr>
              <w:rFonts w:cstheme="minorHAnsi"/>
              <w:sz w:val="24"/>
              <w:szCs w:val="24"/>
              <w:lang w:val="en-GB"/>
            </w:rPr>
            <w:t xml:space="preserve"> and the Code of Ethics issued by the Minister of the Interior)</w:t>
          </w:r>
          <w:r w:rsidR="00060F45" w:rsidRPr="000D4A19">
            <w:rPr>
              <w:rFonts w:cstheme="minorHAnsi"/>
              <w:sz w:val="24"/>
              <w:szCs w:val="24"/>
              <w:lang w:val="en-GB"/>
            </w:rPr>
            <w:t>;</w:t>
          </w:r>
          <w:r w:rsidRPr="000D4A19">
            <w:rPr>
              <w:rFonts w:cstheme="minorHAnsi"/>
              <w:sz w:val="24"/>
              <w:szCs w:val="24"/>
              <w:lang w:val="en-GB"/>
            </w:rPr>
            <w:t xml:space="preserve"> the Minister of the Interior adopted a </w:t>
          </w:r>
          <w:r w:rsidRPr="000D4A19">
            <w:rPr>
              <w:rFonts w:cstheme="minorHAnsi"/>
              <w:sz w:val="24"/>
              <w:szCs w:val="24"/>
              <w:u w:val="single"/>
              <w:lang w:val="en-GB"/>
            </w:rPr>
            <w:t>Code of Ethics for Police Officers</w:t>
          </w:r>
          <w:r w:rsidR="00CA2621" w:rsidRPr="000D4A19">
            <w:rPr>
              <w:rFonts w:cstheme="minorHAnsi"/>
              <w:sz w:val="24"/>
              <w:szCs w:val="24"/>
              <w:lang w:val="en-GB"/>
            </w:rPr>
            <w:t xml:space="preserve"> in 2012. The Code </w:t>
          </w:r>
          <w:r w:rsidR="00E05969" w:rsidRPr="000D4A19">
            <w:rPr>
              <w:rFonts w:cstheme="minorHAnsi"/>
              <w:sz w:val="24"/>
              <w:szCs w:val="24"/>
              <w:lang w:val="en-GB"/>
            </w:rPr>
            <w:t>provides</w:t>
          </w:r>
          <w:r w:rsidR="00CA2621" w:rsidRPr="000D4A19">
            <w:rPr>
              <w:rFonts w:cstheme="minorHAnsi"/>
              <w:sz w:val="24"/>
              <w:szCs w:val="24"/>
              <w:lang w:val="en-GB"/>
            </w:rPr>
            <w:t xml:space="preserve"> a short overview </w:t>
          </w:r>
          <w:r w:rsidR="00846E99" w:rsidRPr="000D4A19">
            <w:rPr>
              <w:rFonts w:cstheme="minorHAnsi"/>
              <w:sz w:val="24"/>
              <w:szCs w:val="24"/>
              <w:lang w:val="en-GB"/>
            </w:rPr>
            <w:t xml:space="preserve">of the </w:t>
          </w:r>
          <w:r w:rsidR="001C5EEF" w:rsidRPr="000D4A19">
            <w:rPr>
              <w:rFonts w:cstheme="minorHAnsi"/>
              <w:sz w:val="24"/>
              <w:szCs w:val="24"/>
              <w:lang w:val="en-GB"/>
            </w:rPr>
            <w:t>basic principles of</w:t>
          </w:r>
          <w:r w:rsidR="00CA2621" w:rsidRPr="000D4A19">
            <w:rPr>
              <w:rFonts w:cstheme="minorHAnsi"/>
              <w:sz w:val="24"/>
              <w:szCs w:val="24"/>
              <w:lang w:val="en-GB"/>
            </w:rPr>
            <w:t xml:space="preserve"> polic</w:t>
          </w:r>
          <w:r w:rsidR="00E05969" w:rsidRPr="000D4A19">
            <w:rPr>
              <w:rFonts w:cstheme="minorHAnsi"/>
              <w:sz w:val="24"/>
              <w:szCs w:val="24"/>
              <w:lang w:val="en-GB"/>
            </w:rPr>
            <w:t xml:space="preserve">ing </w:t>
          </w:r>
          <w:r w:rsidR="00CA2621" w:rsidRPr="000D4A19">
            <w:rPr>
              <w:rFonts w:cstheme="minorHAnsi"/>
              <w:sz w:val="24"/>
              <w:szCs w:val="24"/>
              <w:lang w:val="en-GB"/>
            </w:rPr>
            <w:t>(such as equality</w:t>
          </w:r>
          <w:r w:rsidR="001C5EEF" w:rsidRPr="000D4A19">
            <w:rPr>
              <w:rFonts w:cstheme="minorHAnsi"/>
              <w:sz w:val="24"/>
              <w:szCs w:val="24"/>
              <w:lang w:val="en-GB"/>
            </w:rPr>
            <w:t xml:space="preserve"> before the law</w:t>
          </w:r>
          <w:r w:rsidR="00CA2621" w:rsidRPr="000D4A19">
            <w:rPr>
              <w:rFonts w:cstheme="minorHAnsi"/>
              <w:sz w:val="24"/>
              <w:szCs w:val="24"/>
              <w:lang w:val="en-GB"/>
            </w:rPr>
            <w:t xml:space="preserve">, protection </w:t>
          </w:r>
          <w:r w:rsidR="00846E99" w:rsidRPr="000D4A19">
            <w:rPr>
              <w:rFonts w:cstheme="minorHAnsi"/>
              <w:sz w:val="24"/>
              <w:szCs w:val="24"/>
              <w:lang w:val="en-GB"/>
            </w:rPr>
            <w:t>of the reputation, incorruptibility, mutual respect etc.) and, in an annex, outlines the values applicable to police officers (service to the people, integrity etc.). The official aim of the Code is to “raise awareness of police officers about the importance of respecting ethical principles and st</w:t>
          </w:r>
          <w:r w:rsidR="00841324" w:rsidRPr="000D4A19">
            <w:rPr>
              <w:rFonts w:cstheme="minorHAnsi"/>
              <w:sz w:val="24"/>
              <w:szCs w:val="24"/>
              <w:lang w:val="en-GB"/>
            </w:rPr>
            <w:t>eerin</w:t>
          </w:r>
          <w:r w:rsidR="00846E99" w:rsidRPr="000D4A19">
            <w:rPr>
              <w:rFonts w:cstheme="minorHAnsi"/>
              <w:sz w:val="24"/>
              <w:szCs w:val="24"/>
              <w:lang w:val="en-GB"/>
            </w:rPr>
            <w:t xml:space="preserve">g ethical and moral behaviour in practice” (Article 1). </w:t>
          </w:r>
          <w:r w:rsidR="001C5EEF" w:rsidRPr="000D4A19">
            <w:rPr>
              <w:rFonts w:cstheme="minorHAnsi"/>
              <w:sz w:val="24"/>
              <w:szCs w:val="24"/>
              <w:lang w:val="en-GB"/>
            </w:rPr>
            <w:t xml:space="preserve">The Code does not contain any provisions on enforcement, but instead refers to </w:t>
          </w:r>
          <w:r w:rsidR="00E05969" w:rsidRPr="000D4A19">
            <w:rPr>
              <w:rFonts w:cstheme="minorHAnsi"/>
              <w:sz w:val="24"/>
              <w:szCs w:val="24"/>
              <w:lang w:val="en-GB"/>
            </w:rPr>
            <w:t xml:space="preserve">the </w:t>
          </w:r>
          <w:r w:rsidR="001C5EEF" w:rsidRPr="000D4A19">
            <w:rPr>
              <w:rFonts w:cstheme="minorHAnsi"/>
              <w:sz w:val="24"/>
              <w:szCs w:val="24"/>
              <w:lang w:val="en-GB"/>
            </w:rPr>
            <w:t>Code of Ethics for Civil Servants</w:t>
          </w:r>
          <w:r w:rsidR="009D5150" w:rsidRPr="000D4A19">
            <w:rPr>
              <w:rFonts w:cstheme="minorHAnsi"/>
              <w:sz w:val="24"/>
              <w:szCs w:val="24"/>
              <w:lang w:val="en-GB"/>
            </w:rPr>
            <w:t xml:space="preserve"> (indicating that for any situation not regulated by the Code of Ethics for Police</w:t>
          </w:r>
          <w:r w:rsidR="00040066" w:rsidRPr="000D4A19">
            <w:rPr>
              <w:rFonts w:cstheme="minorHAnsi"/>
              <w:sz w:val="24"/>
              <w:szCs w:val="24"/>
              <w:lang w:val="en-GB"/>
            </w:rPr>
            <w:t xml:space="preserve"> Officers, the provisions of the Code of Ethics for Civil Servants apply)</w:t>
          </w:r>
          <w:r w:rsidR="00027CFE" w:rsidRPr="000D4A19">
            <w:rPr>
              <w:rFonts w:cstheme="minorHAnsi"/>
              <w:sz w:val="24"/>
              <w:szCs w:val="24"/>
              <w:lang w:val="en-GB"/>
            </w:rPr>
            <w:t>, which in turn relies on the Civil Servants Act for its enforceability</w:t>
          </w:r>
          <w:r w:rsidR="001C5EEF" w:rsidRPr="000D4A19">
            <w:rPr>
              <w:rFonts w:cstheme="minorHAnsi"/>
              <w:sz w:val="24"/>
              <w:szCs w:val="24"/>
              <w:lang w:val="en-GB"/>
            </w:rPr>
            <w:t xml:space="preserve">. </w:t>
          </w:r>
        </w:p>
        <w:p w14:paraId="255BF0E1" w14:textId="77777777" w:rsidR="00846E99" w:rsidRPr="000D4A19" w:rsidRDefault="00846E99" w:rsidP="00846E99">
          <w:pPr>
            <w:spacing w:after="0" w:line="240" w:lineRule="auto"/>
            <w:jc w:val="both"/>
            <w:rPr>
              <w:rFonts w:cstheme="minorHAnsi"/>
              <w:sz w:val="24"/>
              <w:szCs w:val="24"/>
              <w:lang w:val="en-GB"/>
            </w:rPr>
          </w:pPr>
        </w:p>
        <w:p w14:paraId="188930BB" w14:textId="320CA5D9" w:rsidR="009919AC" w:rsidRPr="000D4A19" w:rsidRDefault="009919AC" w:rsidP="004B7CAB">
          <w:pPr>
            <w:numPr>
              <w:ilvl w:val="0"/>
              <w:numId w:val="1"/>
            </w:numPr>
            <w:tabs>
              <w:tab w:val="left" w:pos="720"/>
              <w:tab w:val="num" w:pos="1557"/>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The </w:t>
          </w:r>
          <w:r w:rsidRPr="000D4A19">
            <w:rPr>
              <w:rFonts w:cstheme="minorHAnsi"/>
              <w:sz w:val="24"/>
              <w:szCs w:val="24"/>
              <w:u w:val="single"/>
              <w:lang w:val="en-GB"/>
            </w:rPr>
            <w:t xml:space="preserve">Code </w:t>
          </w:r>
          <w:r w:rsidR="001C5EEF" w:rsidRPr="000D4A19">
            <w:rPr>
              <w:rFonts w:cstheme="minorHAnsi"/>
              <w:sz w:val="24"/>
              <w:szCs w:val="24"/>
              <w:u w:val="single"/>
              <w:lang w:val="en-GB"/>
            </w:rPr>
            <w:t>of Ethics for Civil Servants</w:t>
          </w:r>
          <w:r w:rsidR="001C5EEF" w:rsidRPr="000D4A19">
            <w:rPr>
              <w:rFonts w:cstheme="minorHAnsi"/>
              <w:sz w:val="24"/>
              <w:szCs w:val="24"/>
              <w:lang w:val="en-GB"/>
            </w:rPr>
            <w:t xml:space="preserve"> </w:t>
          </w:r>
          <w:r w:rsidR="005845C0" w:rsidRPr="000D4A19">
            <w:rPr>
              <w:rFonts w:cstheme="minorHAnsi"/>
              <w:sz w:val="24"/>
              <w:szCs w:val="24"/>
              <w:lang w:val="en-GB"/>
            </w:rPr>
            <w:t xml:space="preserve">(which – as indicated above – is </w:t>
          </w:r>
          <w:r w:rsidR="00877281" w:rsidRPr="000D4A19">
            <w:rPr>
              <w:rFonts w:cstheme="minorHAnsi"/>
              <w:sz w:val="24"/>
              <w:szCs w:val="24"/>
              <w:lang w:val="en-GB"/>
            </w:rPr>
            <w:t xml:space="preserve">also </w:t>
          </w:r>
          <w:r w:rsidR="005845C0" w:rsidRPr="000D4A19">
            <w:rPr>
              <w:rFonts w:cstheme="minorHAnsi"/>
              <w:sz w:val="24"/>
              <w:szCs w:val="24"/>
              <w:lang w:val="en-GB"/>
            </w:rPr>
            <w:t xml:space="preserve">applicable to staff of the police), as adopted in 2005 and last amended in 2011, </w:t>
          </w:r>
          <w:r w:rsidR="00EF721D" w:rsidRPr="000D4A19">
            <w:rPr>
              <w:rFonts w:cstheme="minorHAnsi"/>
              <w:sz w:val="24"/>
              <w:szCs w:val="24"/>
              <w:lang w:val="en-GB"/>
            </w:rPr>
            <w:t xml:space="preserve">includes </w:t>
          </w:r>
          <w:r w:rsidR="00040066" w:rsidRPr="000D4A19">
            <w:rPr>
              <w:rFonts w:cstheme="minorHAnsi"/>
              <w:sz w:val="24"/>
              <w:szCs w:val="24"/>
              <w:lang w:val="en-GB"/>
            </w:rPr>
            <w:t xml:space="preserve">such </w:t>
          </w:r>
          <w:r w:rsidR="005A336B" w:rsidRPr="000D4A19">
            <w:rPr>
              <w:rFonts w:cstheme="minorHAnsi"/>
              <w:sz w:val="24"/>
              <w:szCs w:val="24"/>
              <w:lang w:val="en-GB"/>
            </w:rPr>
            <w:t xml:space="preserve">notions </w:t>
          </w:r>
          <w:r w:rsidR="00040066" w:rsidRPr="000D4A19">
            <w:rPr>
              <w:rFonts w:cstheme="minorHAnsi"/>
              <w:sz w:val="24"/>
              <w:szCs w:val="24"/>
              <w:lang w:val="en-GB"/>
            </w:rPr>
            <w:t>as respect</w:t>
          </w:r>
          <w:r w:rsidR="005A336B" w:rsidRPr="000D4A19">
            <w:rPr>
              <w:rFonts w:cstheme="minorHAnsi"/>
              <w:sz w:val="24"/>
              <w:szCs w:val="24"/>
              <w:lang w:val="en-GB"/>
            </w:rPr>
            <w:t>ing</w:t>
          </w:r>
          <w:r w:rsidR="00040066" w:rsidRPr="000D4A19">
            <w:rPr>
              <w:rFonts w:cstheme="minorHAnsi"/>
              <w:sz w:val="24"/>
              <w:szCs w:val="24"/>
              <w:lang w:val="en-GB"/>
            </w:rPr>
            <w:t xml:space="preserve"> the dignity of </w:t>
          </w:r>
          <w:r w:rsidR="005A336B" w:rsidRPr="000D4A19">
            <w:rPr>
              <w:rFonts w:cstheme="minorHAnsi"/>
              <w:sz w:val="24"/>
              <w:szCs w:val="24"/>
              <w:lang w:val="en-GB"/>
            </w:rPr>
            <w:t>citizens, harassment, protecting</w:t>
          </w:r>
          <w:r w:rsidR="00040066" w:rsidRPr="000D4A19">
            <w:rPr>
              <w:rFonts w:cstheme="minorHAnsi"/>
              <w:sz w:val="24"/>
              <w:szCs w:val="24"/>
              <w:lang w:val="en-GB"/>
            </w:rPr>
            <w:t xml:space="preserve"> the reputation of the civil service, prohibiting </w:t>
          </w:r>
          <w:r w:rsidR="005A336B" w:rsidRPr="000D4A19">
            <w:rPr>
              <w:rFonts w:cstheme="minorHAnsi"/>
              <w:sz w:val="24"/>
              <w:szCs w:val="24"/>
              <w:lang w:val="en-GB"/>
            </w:rPr>
            <w:t xml:space="preserve">abuse </w:t>
          </w:r>
          <w:r w:rsidR="00040066" w:rsidRPr="000D4A19">
            <w:rPr>
              <w:rFonts w:cstheme="minorHAnsi"/>
              <w:sz w:val="24"/>
              <w:szCs w:val="24"/>
              <w:lang w:val="en-GB"/>
            </w:rPr>
            <w:t xml:space="preserve">of authority and disclosure of information </w:t>
          </w:r>
          <w:r w:rsidR="00EF721D" w:rsidRPr="000D4A19">
            <w:rPr>
              <w:rFonts w:cstheme="minorHAnsi"/>
              <w:sz w:val="24"/>
              <w:szCs w:val="24"/>
              <w:lang w:val="en-GB"/>
            </w:rPr>
            <w:t>for unauthorised purposes. It outlines m</w:t>
          </w:r>
          <w:r w:rsidR="00167D46" w:rsidRPr="000D4A19">
            <w:rPr>
              <w:rFonts w:cstheme="minorHAnsi"/>
              <w:sz w:val="24"/>
              <w:szCs w:val="24"/>
              <w:lang w:val="en-GB"/>
            </w:rPr>
            <w:t>ore at length the responsibilities</w:t>
          </w:r>
          <w:r w:rsidR="00EF721D" w:rsidRPr="000D4A19">
            <w:rPr>
              <w:rFonts w:cstheme="minorHAnsi"/>
              <w:sz w:val="24"/>
              <w:szCs w:val="24"/>
              <w:lang w:val="en-GB"/>
            </w:rPr>
            <w:t xml:space="preserve"> of ethics commissioners, who are appointed in each administrative entity (including the</w:t>
          </w:r>
          <w:r w:rsidR="003423F3" w:rsidRPr="000D4A19">
            <w:rPr>
              <w:rFonts w:cstheme="minorHAnsi"/>
              <w:sz w:val="24"/>
              <w:szCs w:val="24"/>
              <w:lang w:val="en-GB"/>
            </w:rPr>
            <w:t xml:space="preserve"> Ministry of the Interior</w:t>
          </w:r>
          <w:r w:rsidR="00EF721D" w:rsidRPr="000D4A19">
            <w:rPr>
              <w:rFonts w:cstheme="minorHAnsi"/>
              <w:sz w:val="24"/>
              <w:szCs w:val="24"/>
              <w:lang w:val="en-GB"/>
            </w:rPr>
            <w:t>), and complaint proceedings.</w:t>
          </w:r>
          <w:r w:rsidR="00CF3F9F" w:rsidRPr="000D4A19">
            <w:rPr>
              <w:rStyle w:val="Referencafusnote"/>
              <w:rFonts w:cstheme="minorHAnsi"/>
              <w:sz w:val="24"/>
              <w:szCs w:val="24"/>
              <w:lang w:val="en-GB"/>
            </w:rPr>
            <w:footnoteReference w:id="55"/>
          </w:r>
          <w:r w:rsidR="00EF721D" w:rsidRPr="000D4A19">
            <w:rPr>
              <w:rFonts w:cstheme="minorHAnsi"/>
              <w:sz w:val="24"/>
              <w:szCs w:val="24"/>
              <w:lang w:val="en-GB"/>
            </w:rPr>
            <w:t xml:space="preserve"> </w:t>
          </w:r>
          <w:r w:rsidR="00DD681C">
            <w:rPr>
              <w:rFonts w:cstheme="minorHAnsi"/>
              <w:sz w:val="24"/>
              <w:szCs w:val="24"/>
              <w:lang w:val="en-GB"/>
            </w:rPr>
            <w:t xml:space="preserve">It further </w:t>
          </w:r>
          <w:r w:rsidR="00406E61" w:rsidRPr="000D4A19">
            <w:rPr>
              <w:rFonts w:cstheme="minorHAnsi"/>
              <w:sz w:val="24"/>
              <w:szCs w:val="24"/>
              <w:lang w:val="en-GB"/>
            </w:rPr>
            <w:t xml:space="preserve">refers to the duties of a civil </w:t>
          </w:r>
          <w:r w:rsidR="00EF721D" w:rsidRPr="000D4A19">
            <w:rPr>
              <w:rFonts w:cstheme="minorHAnsi"/>
              <w:sz w:val="24"/>
              <w:szCs w:val="24"/>
              <w:lang w:val="en-GB"/>
            </w:rPr>
            <w:t>servant as outl</w:t>
          </w:r>
          <w:r w:rsidR="00167D46" w:rsidRPr="000D4A19">
            <w:rPr>
              <w:rFonts w:cstheme="minorHAnsi"/>
              <w:sz w:val="24"/>
              <w:szCs w:val="24"/>
              <w:lang w:val="en-GB"/>
            </w:rPr>
            <w:t xml:space="preserve">ined in the Civil Servants Act. These are </w:t>
          </w:r>
          <w:r w:rsidR="00EF721D" w:rsidRPr="000D4A19">
            <w:rPr>
              <w:rFonts w:cstheme="minorHAnsi"/>
              <w:sz w:val="24"/>
              <w:szCs w:val="24"/>
              <w:lang w:val="en-GB"/>
            </w:rPr>
            <w:t>divided</w:t>
          </w:r>
          <w:r w:rsidR="00167D46" w:rsidRPr="000D4A19">
            <w:rPr>
              <w:rFonts w:cstheme="minorHAnsi"/>
              <w:sz w:val="24"/>
              <w:szCs w:val="24"/>
              <w:lang w:val="en-GB"/>
            </w:rPr>
            <w:t xml:space="preserve"> in this Act</w:t>
          </w:r>
          <w:r w:rsidR="00EF721D" w:rsidRPr="000D4A19">
            <w:rPr>
              <w:rFonts w:cstheme="minorHAnsi"/>
              <w:sz w:val="24"/>
              <w:szCs w:val="24"/>
              <w:lang w:val="en-GB"/>
            </w:rPr>
            <w:t xml:space="preserve"> into “conduct of civil servants” (i.e. refusal of offered gifts, abuse of authority, non-disclosure of official secrets), “orders” (duty to refuse orders, prohibition to exceed authority etc.) and “conflicts of interest” (incompatibilities, duty to report etc.).</w:t>
          </w:r>
          <w:r w:rsidR="009C3DB4" w:rsidRPr="000D4A19">
            <w:rPr>
              <w:rFonts w:cstheme="minorHAnsi"/>
              <w:sz w:val="24"/>
              <w:szCs w:val="24"/>
              <w:lang w:val="en-GB"/>
            </w:rPr>
            <w:t xml:space="preserve"> </w:t>
          </w:r>
          <w:r w:rsidRPr="000D4A19">
            <w:rPr>
              <w:rFonts w:cstheme="minorHAnsi"/>
              <w:sz w:val="24"/>
              <w:szCs w:val="24"/>
              <w:lang w:val="en-GB"/>
            </w:rPr>
            <w:t xml:space="preserve">Violations of </w:t>
          </w:r>
          <w:r w:rsidR="00060F45" w:rsidRPr="000D4A19">
            <w:rPr>
              <w:rFonts w:cstheme="minorHAnsi"/>
              <w:sz w:val="24"/>
              <w:szCs w:val="24"/>
              <w:lang w:val="en-GB"/>
            </w:rPr>
            <w:t xml:space="preserve">the </w:t>
          </w:r>
          <w:r w:rsidR="00CB2371" w:rsidRPr="000D4A19">
            <w:rPr>
              <w:rFonts w:cstheme="minorHAnsi"/>
              <w:sz w:val="24"/>
              <w:szCs w:val="24"/>
              <w:lang w:val="en-GB"/>
            </w:rPr>
            <w:t xml:space="preserve">Civil Servants Act </w:t>
          </w:r>
          <w:r w:rsidRPr="000D4A19">
            <w:rPr>
              <w:rFonts w:cstheme="minorHAnsi"/>
              <w:sz w:val="24"/>
              <w:szCs w:val="24"/>
              <w:lang w:val="en-GB"/>
            </w:rPr>
            <w:t>can be characterised, depending on the circumstance</w:t>
          </w:r>
          <w:r w:rsidR="00CB2371" w:rsidRPr="000D4A19">
            <w:rPr>
              <w:rFonts w:cstheme="minorHAnsi"/>
              <w:sz w:val="24"/>
              <w:szCs w:val="24"/>
              <w:lang w:val="en-GB"/>
            </w:rPr>
            <w:t>s</w:t>
          </w:r>
          <w:r w:rsidRPr="000D4A19">
            <w:rPr>
              <w:rFonts w:cstheme="minorHAnsi"/>
              <w:sz w:val="24"/>
              <w:szCs w:val="24"/>
              <w:lang w:val="en-GB"/>
            </w:rPr>
            <w:t>, as either minor or serious breaches of official duty (see further</w:t>
          </w:r>
          <w:r w:rsidR="0067037A" w:rsidRPr="000D4A19">
            <w:rPr>
              <w:rFonts w:cstheme="minorHAnsi"/>
              <w:sz w:val="24"/>
              <w:szCs w:val="24"/>
              <w:lang w:val="en-GB"/>
            </w:rPr>
            <w:t xml:space="preserve"> </w:t>
          </w:r>
          <w:r w:rsidRPr="000D4A19">
            <w:rPr>
              <w:rFonts w:cstheme="minorHAnsi"/>
              <w:sz w:val="24"/>
              <w:szCs w:val="24"/>
              <w:lang w:val="en-GB"/>
            </w:rPr>
            <w:t xml:space="preserve">in paragraph </w:t>
          </w:r>
          <w:r w:rsidR="0067037A" w:rsidRPr="007A42EA">
            <w:rPr>
              <w:rFonts w:cstheme="minorHAnsi"/>
              <w:sz w:val="24"/>
              <w:szCs w:val="24"/>
              <w:lang w:val="en-GB"/>
            </w:rPr>
            <w:t>16</w:t>
          </w:r>
          <w:r w:rsidR="00ED28E7" w:rsidRPr="007A42EA">
            <w:rPr>
              <w:rFonts w:cstheme="minorHAnsi"/>
              <w:sz w:val="24"/>
              <w:szCs w:val="24"/>
              <w:lang w:val="en-GB"/>
            </w:rPr>
            <w:t>4</w:t>
          </w:r>
          <w:r w:rsidRPr="007A42EA">
            <w:rPr>
              <w:rFonts w:cstheme="minorHAnsi"/>
              <w:sz w:val="24"/>
              <w:szCs w:val="24"/>
              <w:lang w:val="en-GB"/>
            </w:rPr>
            <w:t xml:space="preserve"> below</w:t>
          </w:r>
          <w:r w:rsidRPr="000D4A19">
            <w:rPr>
              <w:rFonts w:cstheme="minorHAnsi"/>
              <w:sz w:val="24"/>
              <w:szCs w:val="24"/>
              <w:lang w:val="en-GB"/>
            </w:rPr>
            <w:t xml:space="preserve">). </w:t>
          </w:r>
        </w:p>
        <w:p w14:paraId="13C74745" w14:textId="77777777" w:rsidR="00CB2371" w:rsidRPr="000D4A19" w:rsidRDefault="00CB2371" w:rsidP="00CB2371">
          <w:pPr>
            <w:spacing w:after="0" w:line="240" w:lineRule="auto"/>
            <w:jc w:val="both"/>
            <w:rPr>
              <w:rFonts w:cstheme="minorHAnsi"/>
              <w:sz w:val="24"/>
              <w:szCs w:val="24"/>
              <w:lang w:val="en-GB"/>
            </w:rPr>
          </w:pPr>
        </w:p>
        <w:p w14:paraId="074004A3" w14:textId="2A534FEB" w:rsidR="00BC0175" w:rsidRPr="000D4A19" w:rsidRDefault="00BA3A22" w:rsidP="005140D2">
          <w:pPr>
            <w:numPr>
              <w:ilvl w:val="0"/>
              <w:numId w:val="1"/>
            </w:numPr>
            <w:tabs>
              <w:tab w:val="left" w:pos="720"/>
              <w:tab w:val="num" w:pos="1557"/>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While </w:t>
          </w:r>
          <w:r w:rsidR="00823A97" w:rsidRPr="000D4A19">
            <w:rPr>
              <w:rFonts w:cstheme="minorHAnsi"/>
              <w:sz w:val="24"/>
              <w:szCs w:val="24"/>
              <w:lang w:val="en-GB"/>
            </w:rPr>
            <w:t xml:space="preserve">the GET welcomes </w:t>
          </w:r>
          <w:r w:rsidR="005A336B" w:rsidRPr="000D4A19">
            <w:rPr>
              <w:rFonts w:cstheme="minorHAnsi"/>
              <w:sz w:val="24"/>
              <w:szCs w:val="24"/>
              <w:lang w:val="en-GB"/>
            </w:rPr>
            <w:t>the existence of a specific code of ethics for the police</w:t>
          </w:r>
          <w:r w:rsidR="00823A97" w:rsidRPr="000D4A19">
            <w:rPr>
              <w:rFonts w:cstheme="minorHAnsi"/>
              <w:sz w:val="24"/>
              <w:szCs w:val="24"/>
              <w:lang w:val="en-GB"/>
            </w:rPr>
            <w:t xml:space="preserve"> and the impression it got during the on-site visit that police officers are aware of its existence (and – to a certain extent – </w:t>
          </w:r>
          <w:r w:rsidR="00BC0175" w:rsidRPr="000D4A19">
            <w:rPr>
              <w:rFonts w:cstheme="minorHAnsi"/>
              <w:sz w:val="24"/>
              <w:szCs w:val="24"/>
              <w:lang w:val="en-GB"/>
            </w:rPr>
            <w:t xml:space="preserve">of </w:t>
          </w:r>
          <w:r w:rsidR="00823A97" w:rsidRPr="000D4A19">
            <w:rPr>
              <w:rFonts w:cstheme="minorHAnsi"/>
              <w:sz w:val="24"/>
              <w:szCs w:val="24"/>
              <w:lang w:val="en-GB"/>
            </w:rPr>
            <w:t>the Code of Ethics for Civil Servants)</w:t>
          </w:r>
          <w:r w:rsidRPr="000D4A19">
            <w:rPr>
              <w:rFonts w:cstheme="minorHAnsi"/>
              <w:sz w:val="24"/>
              <w:szCs w:val="24"/>
              <w:lang w:val="en-GB"/>
            </w:rPr>
            <w:t xml:space="preserve">, it found </w:t>
          </w:r>
          <w:r w:rsidR="005A336B" w:rsidRPr="000D4A19">
            <w:rPr>
              <w:rFonts w:cstheme="minorHAnsi"/>
              <w:sz w:val="24"/>
              <w:szCs w:val="24"/>
              <w:lang w:val="en-GB"/>
            </w:rPr>
            <w:t xml:space="preserve">the code of ethics </w:t>
          </w:r>
          <w:r w:rsidR="00877281" w:rsidRPr="000D4A19">
            <w:rPr>
              <w:rFonts w:cstheme="minorHAnsi"/>
              <w:sz w:val="24"/>
              <w:szCs w:val="24"/>
              <w:lang w:val="en-GB"/>
            </w:rPr>
            <w:t xml:space="preserve">rather </w:t>
          </w:r>
          <w:r w:rsidRPr="000D4A19">
            <w:rPr>
              <w:rFonts w:cstheme="minorHAnsi"/>
              <w:sz w:val="24"/>
              <w:szCs w:val="24"/>
              <w:lang w:val="en-GB"/>
            </w:rPr>
            <w:t>general</w:t>
          </w:r>
          <w:r w:rsidR="00877281" w:rsidRPr="000D4A19">
            <w:rPr>
              <w:rFonts w:cstheme="minorHAnsi"/>
              <w:sz w:val="24"/>
              <w:szCs w:val="24"/>
              <w:lang w:val="en-GB"/>
            </w:rPr>
            <w:t>. As such</w:t>
          </w:r>
          <w:r w:rsidR="00060F45" w:rsidRPr="000D4A19">
            <w:rPr>
              <w:rFonts w:cstheme="minorHAnsi"/>
              <w:sz w:val="24"/>
              <w:szCs w:val="24"/>
              <w:lang w:val="en-GB"/>
            </w:rPr>
            <w:t>,</w:t>
          </w:r>
          <w:r w:rsidR="00877281" w:rsidRPr="000D4A19">
            <w:rPr>
              <w:rFonts w:cstheme="minorHAnsi"/>
              <w:sz w:val="24"/>
              <w:szCs w:val="24"/>
              <w:lang w:val="en-GB"/>
            </w:rPr>
            <w:t xml:space="preserve"> </w:t>
          </w:r>
          <w:r w:rsidRPr="000D4A19">
            <w:rPr>
              <w:rFonts w:cstheme="minorHAnsi"/>
              <w:sz w:val="24"/>
              <w:szCs w:val="24"/>
              <w:lang w:val="en-GB"/>
            </w:rPr>
            <w:t>it</w:t>
          </w:r>
          <w:r w:rsidR="00E05969" w:rsidRPr="000D4A19">
            <w:rPr>
              <w:rFonts w:cstheme="minorHAnsi"/>
              <w:sz w:val="24"/>
              <w:szCs w:val="24"/>
              <w:lang w:val="en-GB"/>
            </w:rPr>
            <w:t xml:space="preserve"> has less</w:t>
          </w:r>
          <w:r w:rsidRPr="000D4A19">
            <w:rPr>
              <w:rFonts w:cstheme="minorHAnsi"/>
              <w:sz w:val="24"/>
              <w:szCs w:val="24"/>
              <w:lang w:val="en-GB"/>
            </w:rPr>
            <w:t xml:space="preserve"> value in guiding the behaviour of police officers</w:t>
          </w:r>
          <w:r w:rsidR="00877281" w:rsidRPr="000D4A19">
            <w:rPr>
              <w:rFonts w:cstheme="minorHAnsi"/>
              <w:sz w:val="24"/>
              <w:szCs w:val="24"/>
              <w:lang w:val="en-GB"/>
            </w:rPr>
            <w:t xml:space="preserve"> in practice</w:t>
          </w:r>
          <w:r w:rsidRPr="000D4A19">
            <w:rPr>
              <w:rFonts w:cstheme="minorHAnsi"/>
              <w:sz w:val="24"/>
              <w:szCs w:val="24"/>
              <w:lang w:val="en-GB"/>
            </w:rPr>
            <w:t xml:space="preserve">. </w:t>
          </w:r>
          <w:r w:rsidR="005A336B" w:rsidRPr="000D4A19">
            <w:rPr>
              <w:rFonts w:cstheme="minorHAnsi"/>
              <w:sz w:val="24"/>
              <w:szCs w:val="24"/>
              <w:lang w:val="en-GB"/>
            </w:rPr>
            <w:t>In the absence of further guidance, it may be unnecessarily difficult for an officer to translate some of the requirements</w:t>
          </w:r>
          <w:r w:rsidR="00877281" w:rsidRPr="000D4A19">
            <w:rPr>
              <w:rFonts w:cstheme="minorHAnsi"/>
              <w:sz w:val="24"/>
              <w:szCs w:val="24"/>
              <w:lang w:val="en-GB"/>
            </w:rPr>
            <w:t xml:space="preserve"> into daily practice</w:t>
          </w:r>
          <w:r w:rsidR="005A336B" w:rsidRPr="000D4A19">
            <w:rPr>
              <w:rFonts w:cstheme="minorHAnsi"/>
              <w:sz w:val="24"/>
              <w:szCs w:val="24"/>
              <w:lang w:val="en-GB"/>
            </w:rPr>
            <w:t xml:space="preserve">. </w:t>
          </w:r>
          <w:r w:rsidR="005A336B" w:rsidRPr="000D4A19">
            <w:rPr>
              <w:sz w:val="24"/>
              <w:szCs w:val="24"/>
              <w:lang w:val="en-GB"/>
            </w:rPr>
            <w:t>For instance, the Code of Ethics for Police Officers refers to bribery and to corruption (Article 5) but there are no definitions, guidelines or examples on what these concepts actually encompass</w:t>
          </w:r>
          <w:r w:rsidR="005A336B" w:rsidRPr="000D4A19">
            <w:rPr>
              <w:rFonts w:cstheme="minorHAnsi"/>
              <w:sz w:val="24"/>
              <w:szCs w:val="24"/>
              <w:lang w:val="en-GB"/>
            </w:rPr>
            <w:t xml:space="preserve">. No mention is made of </w:t>
          </w:r>
          <w:r w:rsidR="00823A97" w:rsidRPr="000D4A19">
            <w:rPr>
              <w:rFonts w:cstheme="minorHAnsi"/>
              <w:sz w:val="24"/>
              <w:szCs w:val="24"/>
              <w:lang w:val="en-GB"/>
            </w:rPr>
            <w:t xml:space="preserve">conflicts of interest and related matters (gifts, invitations, secondary activities etc.), use of social media, third party contacts etc. </w:t>
          </w:r>
          <w:r w:rsidR="005140D2" w:rsidRPr="000D4A19">
            <w:rPr>
              <w:rFonts w:cstheme="minorHAnsi"/>
              <w:sz w:val="24"/>
              <w:szCs w:val="24"/>
              <w:lang w:val="en-GB"/>
            </w:rPr>
            <w:t>It cannot be said that t</w:t>
          </w:r>
          <w:r w:rsidR="00823A97" w:rsidRPr="000D4A19">
            <w:rPr>
              <w:rFonts w:cstheme="minorHAnsi"/>
              <w:sz w:val="24"/>
              <w:szCs w:val="24"/>
              <w:lang w:val="en-GB"/>
            </w:rPr>
            <w:t xml:space="preserve">he Code of Ethics </w:t>
          </w:r>
          <w:r w:rsidR="00EF1295" w:rsidRPr="000D4A19">
            <w:rPr>
              <w:rFonts w:cstheme="minorHAnsi"/>
              <w:sz w:val="24"/>
              <w:szCs w:val="24"/>
              <w:lang w:val="en-GB"/>
            </w:rPr>
            <w:t>f</w:t>
          </w:r>
          <w:r w:rsidR="00823A97" w:rsidRPr="000D4A19">
            <w:rPr>
              <w:rFonts w:cstheme="minorHAnsi"/>
              <w:sz w:val="24"/>
              <w:szCs w:val="24"/>
              <w:lang w:val="en-GB"/>
            </w:rPr>
            <w:t xml:space="preserve">or Civil Servants </w:t>
          </w:r>
          <w:r w:rsidR="005140D2" w:rsidRPr="000D4A19">
            <w:rPr>
              <w:rFonts w:cstheme="minorHAnsi"/>
              <w:sz w:val="24"/>
              <w:szCs w:val="24"/>
              <w:lang w:val="en-GB"/>
            </w:rPr>
            <w:t xml:space="preserve">fills </w:t>
          </w:r>
          <w:r w:rsidR="00823A97" w:rsidRPr="000D4A19">
            <w:rPr>
              <w:rFonts w:cstheme="minorHAnsi"/>
              <w:sz w:val="24"/>
              <w:szCs w:val="24"/>
              <w:lang w:val="en-GB"/>
            </w:rPr>
            <w:t xml:space="preserve">this gap </w:t>
          </w:r>
          <w:r w:rsidR="00027CFE" w:rsidRPr="000D4A19">
            <w:rPr>
              <w:rFonts w:cstheme="minorHAnsi"/>
              <w:sz w:val="24"/>
              <w:szCs w:val="24"/>
              <w:lang w:val="en-GB"/>
            </w:rPr>
            <w:t>for staff of the police</w:t>
          </w:r>
          <w:r w:rsidR="009553AB" w:rsidRPr="000D4A19">
            <w:rPr>
              <w:rFonts w:cstheme="minorHAnsi"/>
              <w:sz w:val="24"/>
              <w:szCs w:val="24"/>
              <w:lang w:val="en-GB"/>
            </w:rPr>
            <w:t xml:space="preserve"> (</w:t>
          </w:r>
          <w:r w:rsidR="00F84D8D" w:rsidRPr="000D4A19">
            <w:rPr>
              <w:rFonts w:cstheme="minorHAnsi"/>
              <w:sz w:val="24"/>
              <w:szCs w:val="24"/>
              <w:lang w:val="en-GB"/>
            </w:rPr>
            <w:t>as it is not tailored to the specifics of the police profession</w:t>
          </w:r>
          <w:r w:rsidR="00823A97" w:rsidRPr="000D4A19">
            <w:rPr>
              <w:rFonts w:cstheme="minorHAnsi"/>
              <w:sz w:val="24"/>
              <w:szCs w:val="24"/>
              <w:lang w:val="en-GB"/>
            </w:rPr>
            <w:t xml:space="preserve">). </w:t>
          </w:r>
        </w:p>
        <w:p w14:paraId="24AB8903" w14:textId="77777777" w:rsidR="00BC0175" w:rsidRPr="000D4A19" w:rsidRDefault="00BC0175" w:rsidP="00BC0175">
          <w:pPr>
            <w:tabs>
              <w:tab w:val="left" w:pos="720"/>
            </w:tabs>
            <w:spacing w:after="0" w:line="240" w:lineRule="auto"/>
            <w:jc w:val="both"/>
            <w:rPr>
              <w:rFonts w:cstheme="minorHAnsi"/>
              <w:sz w:val="24"/>
              <w:szCs w:val="24"/>
              <w:lang w:val="en-GB"/>
            </w:rPr>
          </w:pPr>
        </w:p>
        <w:p w14:paraId="66E0D5A4" w14:textId="5E79F6BC" w:rsidR="00841324" w:rsidRPr="000D4A19" w:rsidRDefault="00823A97" w:rsidP="00BC0175">
          <w:pPr>
            <w:numPr>
              <w:ilvl w:val="0"/>
              <w:numId w:val="1"/>
            </w:numPr>
            <w:tabs>
              <w:tab w:val="left" w:pos="720"/>
              <w:tab w:val="num" w:pos="1557"/>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The </w:t>
          </w:r>
          <w:r w:rsidR="005A336B" w:rsidRPr="000D4A19">
            <w:rPr>
              <w:rFonts w:cstheme="minorHAnsi"/>
              <w:sz w:val="24"/>
              <w:szCs w:val="24"/>
              <w:lang w:val="en-GB"/>
            </w:rPr>
            <w:t xml:space="preserve">GET considers it </w:t>
          </w:r>
          <w:r w:rsidRPr="000D4A19">
            <w:rPr>
              <w:rFonts w:cstheme="minorHAnsi"/>
              <w:sz w:val="24"/>
              <w:szCs w:val="24"/>
              <w:lang w:val="en-GB"/>
            </w:rPr>
            <w:t>necessary to revise the</w:t>
          </w:r>
          <w:r w:rsidR="005A336B" w:rsidRPr="000D4A19">
            <w:rPr>
              <w:rFonts w:cstheme="minorHAnsi"/>
              <w:sz w:val="24"/>
              <w:szCs w:val="24"/>
              <w:lang w:val="en-GB"/>
            </w:rPr>
            <w:t xml:space="preserve"> Code of Ethics </w:t>
          </w:r>
          <w:r w:rsidRPr="000D4A19">
            <w:rPr>
              <w:rFonts w:cstheme="minorHAnsi"/>
              <w:sz w:val="24"/>
              <w:szCs w:val="24"/>
              <w:lang w:val="en-GB"/>
            </w:rPr>
            <w:t>for Police Officers</w:t>
          </w:r>
          <w:r w:rsidR="005140D2" w:rsidRPr="000D4A19">
            <w:rPr>
              <w:rFonts w:cstheme="minorHAnsi"/>
              <w:sz w:val="24"/>
              <w:szCs w:val="24"/>
              <w:lang w:val="en-GB"/>
            </w:rPr>
            <w:t xml:space="preserve">, preferably </w:t>
          </w:r>
          <w:r w:rsidR="00EF1295" w:rsidRPr="000D4A19">
            <w:rPr>
              <w:rFonts w:cstheme="minorHAnsi"/>
              <w:sz w:val="24"/>
              <w:szCs w:val="24"/>
              <w:lang w:val="en-GB"/>
            </w:rPr>
            <w:t>through</w:t>
          </w:r>
          <w:r w:rsidR="005140D2" w:rsidRPr="000D4A19">
            <w:rPr>
              <w:rFonts w:cstheme="minorHAnsi"/>
              <w:sz w:val="24"/>
              <w:szCs w:val="24"/>
              <w:lang w:val="en-GB"/>
            </w:rPr>
            <w:t xml:space="preserve"> joint preparation by police management, employees, trade unions and other stakeholders. Such a revision should take </w:t>
          </w:r>
          <w:r w:rsidR="005A336B" w:rsidRPr="000D4A19">
            <w:rPr>
              <w:rFonts w:cstheme="minorHAnsi"/>
              <w:sz w:val="24"/>
              <w:szCs w:val="24"/>
              <w:lang w:val="en-GB"/>
            </w:rPr>
            <w:t xml:space="preserve">into account the latest developments in corruption prevention </w:t>
          </w:r>
          <w:r w:rsidR="005140D2" w:rsidRPr="000D4A19">
            <w:rPr>
              <w:rFonts w:cstheme="minorHAnsi"/>
              <w:sz w:val="24"/>
              <w:szCs w:val="24"/>
              <w:lang w:val="en-GB"/>
            </w:rPr>
            <w:t>and</w:t>
          </w:r>
          <w:r w:rsidR="00E05969" w:rsidRPr="000D4A19">
            <w:rPr>
              <w:rFonts w:cstheme="minorHAnsi"/>
              <w:sz w:val="24"/>
              <w:szCs w:val="24"/>
              <w:lang w:val="en-GB"/>
            </w:rPr>
            <w:t xml:space="preserve"> </w:t>
          </w:r>
          <w:r w:rsidR="00841324" w:rsidRPr="000D4A19">
            <w:rPr>
              <w:rFonts w:cstheme="minorHAnsi"/>
              <w:sz w:val="24"/>
              <w:szCs w:val="24"/>
              <w:lang w:val="en-GB"/>
            </w:rPr>
            <w:t xml:space="preserve">be connected to a future anti-corruption strategy for the police (as outlined in </w:t>
          </w:r>
          <w:r w:rsidR="00841324" w:rsidRPr="007A42EA">
            <w:rPr>
              <w:rFonts w:cstheme="minorHAnsi"/>
              <w:sz w:val="24"/>
              <w:szCs w:val="24"/>
              <w:lang w:val="en-GB"/>
            </w:rPr>
            <w:t xml:space="preserve">recommendation </w:t>
          </w:r>
          <w:r w:rsidR="00815256" w:rsidRPr="007A42EA">
            <w:rPr>
              <w:rFonts w:cstheme="minorHAnsi"/>
              <w:sz w:val="24"/>
              <w:szCs w:val="24"/>
              <w:lang w:val="en-GB"/>
            </w:rPr>
            <w:t>xii</w:t>
          </w:r>
          <w:r w:rsidR="00ED28E7" w:rsidRPr="007A42EA">
            <w:rPr>
              <w:rFonts w:cstheme="minorHAnsi"/>
              <w:sz w:val="24"/>
              <w:szCs w:val="24"/>
              <w:lang w:val="en-GB"/>
            </w:rPr>
            <w:t>,</w:t>
          </w:r>
          <w:r w:rsidR="00841324" w:rsidRPr="007A42EA">
            <w:rPr>
              <w:rFonts w:cstheme="minorHAnsi"/>
              <w:sz w:val="24"/>
              <w:szCs w:val="24"/>
              <w:lang w:val="en-GB"/>
            </w:rPr>
            <w:t xml:space="preserve"> </w:t>
          </w:r>
          <w:r w:rsidR="00ED28E7" w:rsidRPr="007A42EA">
            <w:rPr>
              <w:rFonts w:cstheme="minorHAnsi"/>
              <w:sz w:val="24"/>
              <w:szCs w:val="24"/>
              <w:lang w:val="en-GB"/>
            </w:rPr>
            <w:t xml:space="preserve">paragraph 111 </w:t>
          </w:r>
          <w:r w:rsidR="00841324" w:rsidRPr="007A42EA">
            <w:rPr>
              <w:rFonts w:cstheme="minorHAnsi"/>
              <w:sz w:val="24"/>
              <w:szCs w:val="24"/>
              <w:lang w:val="en-GB"/>
            </w:rPr>
            <w:t>above). It would</w:t>
          </w:r>
          <w:r w:rsidR="00EF1295" w:rsidRPr="000D4A19">
            <w:rPr>
              <w:rFonts w:cstheme="minorHAnsi"/>
              <w:sz w:val="24"/>
              <w:szCs w:val="24"/>
              <w:lang w:val="en-GB"/>
            </w:rPr>
            <w:t>,</w:t>
          </w:r>
          <w:r w:rsidR="00841324" w:rsidRPr="000D4A19">
            <w:rPr>
              <w:rFonts w:cstheme="minorHAnsi"/>
              <w:sz w:val="24"/>
              <w:szCs w:val="24"/>
              <w:lang w:val="en-GB"/>
            </w:rPr>
            <w:t xml:space="preserve"> furthermore</w:t>
          </w:r>
          <w:r w:rsidR="00EF1295" w:rsidRPr="000D4A19">
            <w:rPr>
              <w:rFonts w:cstheme="minorHAnsi"/>
              <w:sz w:val="24"/>
              <w:szCs w:val="24"/>
              <w:lang w:val="en-GB"/>
            </w:rPr>
            <w:t>,</w:t>
          </w:r>
          <w:r w:rsidR="00841324" w:rsidRPr="000D4A19">
            <w:rPr>
              <w:rFonts w:cstheme="minorHAnsi"/>
              <w:sz w:val="24"/>
              <w:szCs w:val="24"/>
              <w:lang w:val="en-GB"/>
            </w:rPr>
            <w:t xml:space="preserve"> </w:t>
          </w:r>
          <w:r w:rsidR="005140D2" w:rsidRPr="000D4A19">
            <w:rPr>
              <w:rFonts w:cstheme="minorHAnsi"/>
              <w:sz w:val="24"/>
              <w:szCs w:val="24"/>
              <w:lang w:val="en-GB"/>
            </w:rPr>
            <w:t xml:space="preserve">need to be </w:t>
          </w:r>
          <w:r w:rsidR="005A336B" w:rsidRPr="000D4A19">
            <w:rPr>
              <w:rFonts w:cstheme="minorHAnsi"/>
              <w:sz w:val="24"/>
              <w:szCs w:val="24"/>
              <w:lang w:val="en-GB"/>
            </w:rPr>
            <w:t>supplement</w:t>
          </w:r>
          <w:r w:rsidR="005140D2" w:rsidRPr="000D4A19">
            <w:rPr>
              <w:rFonts w:cstheme="minorHAnsi"/>
              <w:sz w:val="24"/>
              <w:szCs w:val="24"/>
              <w:lang w:val="en-GB"/>
            </w:rPr>
            <w:t>ed</w:t>
          </w:r>
          <w:r w:rsidR="005A336B" w:rsidRPr="000D4A19">
            <w:rPr>
              <w:rFonts w:cstheme="minorHAnsi"/>
              <w:sz w:val="24"/>
              <w:szCs w:val="24"/>
              <w:lang w:val="en-GB"/>
            </w:rPr>
            <w:t xml:space="preserve"> with proper</w:t>
          </w:r>
          <w:r w:rsidRPr="000D4A19">
            <w:rPr>
              <w:rFonts w:cstheme="minorHAnsi"/>
              <w:sz w:val="24"/>
              <w:szCs w:val="24"/>
              <w:lang w:val="en-GB"/>
            </w:rPr>
            <w:t xml:space="preserve"> written</w:t>
          </w:r>
          <w:r w:rsidR="005A336B" w:rsidRPr="000D4A19">
            <w:rPr>
              <w:rFonts w:cstheme="minorHAnsi"/>
              <w:sz w:val="24"/>
              <w:szCs w:val="24"/>
              <w:lang w:val="en-GB"/>
            </w:rPr>
            <w:t xml:space="preserve"> guidance, </w:t>
          </w:r>
          <w:r w:rsidR="00BC0175" w:rsidRPr="000D4A19">
            <w:rPr>
              <w:rFonts w:cstheme="minorHAnsi"/>
              <w:sz w:val="24"/>
              <w:szCs w:val="24"/>
              <w:lang w:val="en-GB"/>
            </w:rPr>
            <w:t xml:space="preserve">which </w:t>
          </w:r>
          <w:r w:rsidR="00EF1295" w:rsidRPr="000D4A19">
            <w:rPr>
              <w:rFonts w:cstheme="minorHAnsi"/>
              <w:sz w:val="24"/>
              <w:szCs w:val="24"/>
              <w:lang w:val="en-GB"/>
            </w:rPr>
            <w:t>is</w:t>
          </w:r>
          <w:r w:rsidR="005A336B" w:rsidRPr="000D4A19">
            <w:rPr>
              <w:rFonts w:cstheme="minorHAnsi"/>
              <w:sz w:val="24"/>
              <w:szCs w:val="24"/>
              <w:lang w:val="en-GB"/>
            </w:rPr>
            <w:t xml:space="preserve"> easily accessible</w:t>
          </w:r>
          <w:r w:rsidR="005140D2" w:rsidRPr="000D4A19">
            <w:rPr>
              <w:rFonts w:cstheme="minorHAnsi"/>
              <w:sz w:val="24"/>
              <w:szCs w:val="24"/>
              <w:lang w:val="en-GB"/>
            </w:rPr>
            <w:t xml:space="preserve"> (on the police intranet and in paper copy at each police station)</w:t>
          </w:r>
          <w:r w:rsidR="005A336B" w:rsidRPr="000D4A19">
            <w:rPr>
              <w:rFonts w:cstheme="minorHAnsi"/>
              <w:sz w:val="24"/>
              <w:szCs w:val="24"/>
              <w:lang w:val="en-GB"/>
            </w:rPr>
            <w:t>. Each a</w:t>
          </w:r>
          <w:r w:rsidR="005140D2" w:rsidRPr="000D4A19">
            <w:rPr>
              <w:rFonts w:cstheme="minorHAnsi"/>
              <w:sz w:val="24"/>
              <w:szCs w:val="24"/>
              <w:lang w:val="en-GB"/>
            </w:rPr>
            <w:t>rticle contain</w:t>
          </w:r>
          <w:r w:rsidR="00EF1295" w:rsidRPr="000D4A19">
            <w:rPr>
              <w:rFonts w:cstheme="minorHAnsi"/>
              <w:sz w:val="24"/>
              <w:szCs w:val="24"/>
              <w:lang w:val="en-GB"/>
            </w:rPr>
            <w:t>ing</w:t>
          </w:r>
          <w:r w:rsidR="005140D2" w:rsidRPr="000D4A19">
            <w:rPr>
              <w:rFonts w:cstheme="minorHAnsi"/>
              <w:sz w:val="24"/>
              <w:szCs w:val="24"/>
              <w:lang w:val="en-GB"/>
            </w:rPr>
            <w:t xml:space="preserve"> </w:t>
          </w:r>
          <w:r w:rsidR="00E05969" w:rsidRPr="000D4A19">
            <w:rPr>
              <w:rFonts w:cstheme="minorHAnsi"/>
              <w:sz w:val="24"/>
              <w:szCs w:val="24"/>
              <w:lang w:val="en-GB"/>
            </w:rPr>
            <w:t xml:space="preserve">such a code </w:t>
          </w:r>
          <w:r w:rsidR="005A336B" w:rsidRPr="000D4A19">
            <w:rPr>
              <w:rFonts w:cstheme="minorHAnsi"/>
              <w:sz w:val="24"/>
              <w:szCs w:val="24"/>
              <w:lang w:val="en-GB"/>
            </w:rPr>
            <w:t>should be explained so that the code becomes more than a rather generic statement of principles, as is currently the case. Guidance should be understood as a manual</w:t>
          </w:r>
          <w:r w:rsidRPr="000D4A19">
            <w:rPr>
              <w:rFonts w:cstheme="minorHAnsi"/>
              <w:sz w:val="24"/>
              <w:szCs w:val="24"/>
              <w:lang w:val="en-GB"/>
            </w:rPr>
            <w:t xml:space="preserve"> or handbook</w:t>
          </w:r>
          <w:r w:rsidR="005A336B" w:rsidRPr="000D4A19">
            <w:rPr>
              <w:rFonts w:cstheme="minorHAnsi"/>
              <w:sz w:val="24"/>
              <w:szCs w:val="24"/>
              <w:lang w:val="en-GB"/>
            </w:rPr>
            <w:t xml:space="preserve"> including practical examples, based on e</w:t>
          </w:r>
          <w:r w:rsidRPr="000D4A19">
            <w:rPr>
              <w:rFonts w:cstheme="minorHAnsi"/>
              <w:sz w:val="24"/>
              <w:szCs w:val="24"/>
              <w:lang w:val="en-GB"/>
            </w:rPr>
            <w:t>xperience</w:t>
          </w:r>
          <w:r w:rsidR="00877281" w:rsidRPr="000D4A19">
            <w:rPr>
              <w:rFonts w:cstheme="minorHAnsi"/>
              <w:sz w:val="24"/>
              <w:szCs w:val="24"/>
              <w:lang w:val="en-GB"/>
            </w:rPr>
            <w:t>s</w:t>
          </w:r>
          <w:r w:rsidRPr="000D4A19">
            <w:rPr>
              <w:rFonts w:cstheme="minorHAnsi"/>
              <w:sz w:val="24"/>
              <w:szCs w:val="24"/>
              <w:lang w:val="en-GB"/>
            </w:rPr>
            <w:t xml:space="preserve"> </w:t>
          </w:r>
          <w:r w:rsidR="00877281" w:rsidRPr="000D4A19">
            <w:rPr>
              <w:rFonts w:cstheme="minorHAnsi"/>
              <w:sz w:val="24"/>
              <w:szCs w:val="24"/>
              <w:lang w:val="en-GB"/>
            </w:rPr>
            <w:t xml:space="preserve">of the police force </w:t>
          </w:r>
          <w:r w:rsidRPr="000D4A19">
            <w:rPr>
              <w:rFonts w:cstheme="minorHAnsi"/>
              <w:sz w:val="24"/>
              <w:szCs w:val="24"/>
              <w:lang w:val="en-GB"/>
            </w:rPr>
            <w:t>in Croatia</w:t>
          </w:r>
          <w:r w:rsidR="005A336B" w:rsidRPr="000D4A19">
            <w:rPr>
              <w:rFonts w:cstheme="minorHAnsi"/>
              <w:sz w:val="24"/>
              <w:szCs w:val="24"/>
              <w:lang w:val="en-GB"/>
            </w:rPr>
            <w:t xml:space="preserve">, to illustrate </w:t>
          </w:r>
          <w:r w:rsidR="005140D2" w:rsidRPr="000D4A19">
            <w:rPr>
              <w:rFonts w:cstheme="minorHAnsi"/>
              <w:sz w:val="24"/>
              <w:szCs w:val="24"/>
              <w:lang w:val="en-GB"/>
            </w:rPr>
            <w:t xml:space="preserve">specifically for police staff </w:t>
          </w:r>
          <w:r w:rsidR="005A336B" w:rsidRPr="000D4A19">
            <w:rPr>
              <w:rFonts w:cstheme="minorHAnsi"/>
              <w:sz w:val="24"/>
              <w:szCs w:val="24"/>
              <w:lang w:val="en-GB"/>
            </w:rPr>
            <w:t xml:space="preserve">the complexity of the situations covered by these principles and steps to be taken to avoid or defuse corruption threats. </w:t>
          </w:r>
        </w:p>
        <w:p w14:paraId="38B3A21E" w14:textId="77777777" w:rsidR="00841324" w:rsidRPr="000D4A19" w:rsidRDefault="00841324" w:rsidP="00645C71">
          <w:pPr>
            <w:tabs>
              <w:tab w:val="left" w:pos="720"/>
            </w:tabs>
            <w:spacing w:after="0" w:line="240" w:lineRule="auto"/>
            <w:jc w:val="both"/>
            <w:rPr>
              <w:rFonts w:cstheme="minorHAnsi"/>
              <w:sz w:val="24"/>
              <w:szCs w:val="24"/>
              <w:lang w:val="en-GB"/>
            </w:rPr>
          </w:pPr>
        </w:p>
        <w:p w14:paraId="49E2349D" w14:textId="2A434974" w:rsidR="005A336B" w:rsidRPr="000D4A19" w:rsidRDefault="00E05969" w:rsidP="00051311">
          <w:pPr>
            <w:numPr>
              <w:ilvl w:val="0"/>
              <w:numId w:val="1"/>
            </w:numPr>
            <w:tabs>
              <w:tab w:val="left" w:pos="720"/>
              <w:tab w:val="num" w:pos="1557"/>
            </w:tabs>
            <w:spacing w:after="0" w:line="240" w:lineRule="auto"/>
            <w:ind w:left="0" w:firstLine="0"/>
            <w:jc w:val="both"/>
            <w:rPr>
              <w:rFonts w:cstheme="minorHAnsi"/>
              <w:sz w:val="24"/>
              <w:szCs w:val="24"/>
              <w:lang w:val="en-GB"/>
            </w:rPr>
          </w:pPr>
          <w:r w:rsidRPr="000D4A19">
            <w:rPr>
              <w:rFonts w:cstheme="minorHAnsi"/>
              <w:sz w:val="24"/>
              <w:szCs w:val="24"/>
              <w:lang w:val="en-GB"/>
            </w:rPr>
            <w:t>A</w:t>
          </w:r>
          <w:r w:rsidR="005140D2" w:rsidRPr="000D4A19">
            <w:rPr>
              <w:rFonts w:cstheme="minorHAnsi"/>
              <w:sz w:val="24"/>
              <w:szCs w:val="24"/>
              <w:lang w:val="en-GB"/>
            </w:rPr>
            <w:t xml:space="preserve"> manual or handbook should</w:t>
          </w:r>
          <w:r w:rsidR="00EF1295" w:rsidRPr="000D4A19">
            <w:rPr>
              <w:rFonts w:cstheme="minorHAnsi"/>
              <w:sz w:val="24"/>
              <w:szCs w:val="24"/>
              <w:lang w:val="en-GB"/>
            </w:rPr>
            <w:t>,</w:t>
          </w:r>
          <w:r w:rsidR="005140D2" w:rsidRPr="000D4A19">
            <w:rPr>
              <w:rFonts w:cstheme="minorHAnsi"/>
              <w:sz w:val="24"/>
              <w:szCs w:val="24"/>
              <w:lang w:val="en-GB"/>
            </w:rPr>
            <w:t xml:space="preserve"> furthermore</w:t>
          </w:r>
          <w:r w:rsidR="00EF1295" w:rsidRPr="000D4A19">
            <w:rPr>
              <w:rFonts w:cstheme="minorHAnsi"/>
              <w:sz w:val="24"/>
              <w:szCs w:val="24"/>
              <w:lang w:val="en-GB"/>
            </w:rPr>
            <w:t>,</w:t>
          </w:r>
          <w:r w:rsidR="005140D2" w:rsidRPr="000D4A19">
            <w:rPr>
              <w:rFonts w:cstheme="minorHAnsi"/>
              <w:sz w:val="24"/>
              <w:szCs w:val="24"/>
              <w:lang w:val="en-GB"/>
            </w:rPr>
            <w:t xml:space="preserve"> be used in training</w:t>
          </w:r>
          <w:r w:rsidR="00EF1295" w:rsidRPr="000D4A19">
            <w:rPr>
              <w:rFonts w:cstheme="minorHAnsi"/>
              <w:sz w:val="24"/>
              <w:szCs w:val="24"/>
              <w:lang w:val="en-GB"/>
            </w:rPr>
            <w:t xml:space="preserve"> course</w:t>
          </w:r>
          <w:r w:rsidR="005140D2" w:rsidRPr="000D4A19">
            <w:rPr>
              <w:rFonts w:cstheme="minorHAnsi"/>
              <w:sz w:val="24"/>
              <w:szCs w:val="24"/>
              <w:lang w:val="en-GB"/>
            </w:rPr>
            <w:t xml:space="preserve">s and become </w:t>
          </w:r>
          <w:r w:rsidR="005A336B" w:rsidRPr="000D4A19">
            <w:rPr>
              <w:rFonts w:cstheme="minorHAnsi"/>
              <w:sz w:val="24"/>
              <w:szCs w:val="24"/>
              <w:lang w:val="en-GB"/>
            </w:rPr>
            <w:t>a living instrument that takes stock of recent developments</w:t>
          </w:r>
          <w:r w:rsidR="00823A97" w:rsidRPr="000D4A19">
            <w:rPr>
              <w:rFonts w:cstheme="minorHAnsi"/>
              <w:sz w:val="24"/>
              <w:szCs w:val="24"/>
              <w:lang w:val="en-GB"/>
            </w:rPr>
            <w:t>, taking the outcome of the</w:t>
          </w:r>
          <w:r w:rsidR="0067037A" w:rsidRPr="000D4A19">
            <w:rPr>
              <w:rFonts w:cstheme="minorHAnsi"/>
              <w:sz w:val="24"/>
              <w:szCs w:val="24"/>
              <w:lang w:val="en-GB"/>
            </w:rPr>
            <w:t xml:space="preserve"> abovementioned</w:t>
          </w:r>
          <w:r w:rsidR="00823A97" w:rsidRPr="000D4A19">
            <w:rPr>
              <w:rFonts w:cstheme="minorHAnsi"/>
              <w:sz w:val="24"/>
              <w:szCs w:val="24"/>
              <w:lang w:val="en-GB"/>
            </w:rPr>
            <w:t xml:space="preserve"> risk assessment</w:t>
          </w:r>
          <w:r w:rsidR="00725794" w:rsidRPr="000D4A19">
            <w:rPr>
              <w:rFonts w:cstheme="minorHAnsi"/>
              <w:sz w:val="24"/>
              <w:szCs w:val="24"/>
              <w:lang w:val="en-GB"/>
            </w:rPr>
            <w:t xml:space="preserve"> </w:t>
          </w:r>
          <w:r w:rsidR="005140D2" w:rsidRPr="000D4A19">
            <w:rPr>
              <w:rFonts w:cstheme="minorHAnsi"/>
              <w:sz w:val="24"/>
              <w:szCs w:val="24"/>
              <w:lang w:val="en-GB"/>
            </w:rPr>
            <w:t>into account</w:t>
          </w:r>
          <w:r w:rsidR="005A336B" w:rsidRPr="000D4A19">
            <w:rPr>
              <w:rFonts w:cstheme="minorHAnsi"/>
              <w:sz w:val="24"/>
              <w:szCs w:val="24"/>
              <w:lang w:val="en-GB"/>
            </w:rPr>
            <w:t>.</w:t>
          </w:r>
          <w:r w:rsidR="005140D2" w:rsidRPr="000D4A19">
            <w:rPr>
              <w:rFonts w:cstheme="minorHAnsi"/>
              <w:sz w:val="24"/>
              <w:szCs w:val="24"/>
              <w:lang w:val="en-GB"/>
            </w:rPr>
            <w:t xml:space="preserve"> As such a revision of the Code of Ethics, illustrated with examples and explanations</w:t>
          </w:r>
          <w:r w:rsidR="00BC0175" w:rsidRPr="000D4A19">
            <w:rPr>
              <w:rFonts w:cstheme="minorHAnsi"/>
              <w:sz w:val="24"/>
              <w:szCs w:val="24"/>
              <w:lang w:val="en-GB"/>
            </w:rPr>
            <w:t xml:space="preserve">, would not only provide valuable guidance on the required conduct, but would also serve to inform the public of the existing regulations and the behaviour </w:t>
          </w:r>
          <w:r w:rsidR="00877281" w:rsidRPr="000D4A19">
            <w:rPr>
              <w:rFonts w:cstheme="minorHAnsi"/>
              <w:sz w:val="24"/>
              <w:szCs w:val="24"/>
              <w:lang w:val="en-GB"/>
            </w:rPr>
            <w:t>to</w:t>
          </w:r>
          <w:r w:rsidR="00BC0175" w:rsidRPr="000D4A19">
            <w:rPr>
              <w:rFonts w:cstheme="minorHAnsi"/>
              <w:sz w:val="24"/>
              <w:szCs w:val="24"/>
              <w:lang w:val="en-GB"/>
            </w:rPr>
            <w:t xml:space="preserve"> be expected </w:t>
          </w:r>
          <w:r w:rsidR="00877281" w:rsidRPr="000D4A19">
            <w:rPr>
              <w:rFonts w:cstheme="minorHAnsi"/>
              <w:sz w:val="24"/>
              <w:szCs w:val="24"/>
              <w:lang w:val="en-GB"/>
            </w:rPr>
            <w:t>from</w:t>
          </w:r>
          <w:r w:rsidR="00BC0175" w:rsidRPr="000D4A19">
            <w:rPr>
              <w:rFonts w:cstheme="minorHAnsi"/>
              <w:sz w:val="24"/>
              <w:szCs w:val="24"/>
              <w:lang w:val="en-GB"/>
            </w:rPr>
            <w:t xml:space="preserve"> police officers. </w:t>
          </w:r>
          <w:r w:rsidR="005A336B" w:rsidRPr="000D4A19">
            <w:rPr>
              <w:rFonts w:cstheme="minorHAnsi"/>
              <w:sz w:val="24"/>
              <w:szCs w:val="24"/>
              <w:lang w:val="en-GB"/>
            </w:rPr>
            <w:t xml:space="preserve">This implies not only making the code </w:t>
          </w:r>
          <w:r w:rsidR="00725794" w:rsidRPr="000D4A19">
            <w:rPr>
              <w:rFonts w:cstheme="minorHAnsi"/>
              <w:sz w:val="24"/>
              <w:szCs w:val="24"/>
              <w:lang w:val="en-GB"/>
            </w:rPr>
            <w:t>available to the public but taking</w:t>
          </w:r>
          <w:r w:rsidR="005A336B" w:rsidRPr="000D4A19">
            <w:rPr>
              <w:rFonts w:cstheme="minorHAnsi"/>
              <w:sz w:val="24"/>
              <w:szCs w:val="24"/>
              <w:lang w:val="en-GB"/>
            </w:rPr>
            <w:t xml:space="preserve"> active steps to publicise it. For these reasons, </w:t>
          </w:r>
          <w:r w:rsidR="005A336B" w:rsidRPr="000D4A19">
            <w:rPr>
              <w:rFonts w:cstheme="minorHAnsi"/>
              <w:b/>
              <w:sz w:val="24"/>
              <w:szCs w:val="24"/>
              <w:lang w:val="en-GB"/>
            </w:rPr>
            <w:t xml:space="preserve">GRECO recommends </w:t>
          </w:r>
          <w:bookmarkStart w:id="159" w:name="_Hlk26535901"/>
          <w:bookmarkStart w:id="160" w:name="_Hlk22745732"/>
          <w:r w:rsidR="005A336B" w:rsidRPr="000D4A19">
            <w:rPr>
              <w:rFonts w:cstheme="minorHAnsi"/>
              <w:b/>
              <w:sz w:val="24"/>
              <w:szCs w:val="24"/>
              <w:lang w:val="en-GB"/>
            </w:rPr>
            <w:t>that (i) the Code of Ethics</w:t>
          </w:r>
          <w:r w:rsidR="00BC0175" w:rsidRPr="000D4A19">
            <w:rPr>
              <w:rFonts w:cstheme="minorHAnsi"/>
              <w:b/>
              <w:sz w:val="24"/>
              <w:szCs w:val="24"/>
              <w:lang w:val="en-GB"/>
            </w:rPr>
            <w:t xml:space="preserve"> for Police Officers</w:t>
          </w:r>
          <w:r w:rsidR="005A336B" w:rsidRPr="000D4A19">
            <w:rPr>
              <w:rFonts w:cstheme="minorHAnsi"/>
              <w:b/>
              <w:sz w:val="24"/>
              <w:szCs w:val="24"/>
              <w:lang w:val="en-GB"/>
            </w:rPr>
            <w:t xml:space="preserve"> is updated and covers in detail all relevant integrity matters (such as conflict of interest, gifts, contacts with third parties, outside activities, the handling of confidential information), supplemented with a manual</w:t>
          </w:r>
          <w:r w:rsidR="00BC0175" w:rsidRPr="000D4A19">
            <w:rPr>
              <w:rFonts w:cstheme="minorHAnsi"/>
              <w:b/>
              <w:sz w:val="24"/>
              <w:szCs w:val="24"/>
              <w:lang w:val="en-GB"/>
            </w:rPr>
            <w:t xml:space="preserve"> or handbook</w:t>
          </w:r>
          <w:r w:rsidR="005A336B" w:rsidRPr="000D4A19">
            <w:rPr>
              <w:rFonts w:cstheme="minorHAnsi"/>
              <w:b/>
              <w:sz w:val="24"/>
              <w:szCs w:val="24"/>
              <w:lang w:val="en-GB"/>
            </w:rPr>
            <w:t xml:space="preserve"> illustrating all issues and risk areas with concrete examples; (ii) the Code of Ethics be made known to the public</w:t>
          </w:r>
          <w:bookmarkEnd w:id="159"/>
          <w:r w:rsidR="005A336B" w:rsidRPr="000D4A19">
            <w:rPr>
              <w:rFonts w:cstheme="minorHAnsi"/>
              <w:b/>
              <w:sz w:val="24"/>
              <w:szCs w:val="24"/>
              <w:lang w:val="en-GB"/>
            </w:rPr>
            <w:t>.</w:t>
          </w:r>
        </w:p>
        <w:p w14:paraId="6E6DFDCD" w14:textId="77777777" w:rsidR="005A336B" w:rsidRPr="000D4A19" w:rsidRDefault="005A336B" w:rsidP="00051311">
          <w:pPr>
            <w:tabs>
              <w:tab w:val="left" w:pos="720"/>
            </w:tabs>
            <w:spacing w:after="0" w:line="240" w:lineRule="auto"/>
            <w:jc w:val="both"/>
            <w:rPr>
              <w:rFonts w:cstheme="minorHAnsi"/>
              <w:sz w:val="24"/>
              <w:szCs w:val="24"/>
              <w:lang w:val="en-GB"/>
            </w:rPr>
          </w:pPr>
        </w:p>
        <w:p w14:paraId="621F261C" w14:textId="46F59963" w:rsidR="009919AC" w:rsidRPr="000D4A19" w:rsidRDefault="009919AC" w:rsidP="00051311">
          <w:pPr>
            <w:pStyle w:val="Naslov3"/>
            <w:spacing w:before="0" w:line="240" w:lineRule="auto"/>
            <w:rPr>
              <w:rFonts w:asciiTheme="minorHAnsi" w:hAnsiTheme="minorHAnsi" w:cstheme="minorHAnsi"/>
              <w:b w:val="0"/>
              <w:i/>
              <w:color w:val="auto"/>
              <w:sz w:val="24"/>
              <w:szCs w:val="24"/>
              <w:lang w:val="en-GB"/>
            </w:rPr>
          </w:pPr>
          <w:bookmarkStart w:id="161" w:name="_Toc25229328"/>
          <w:bookmarkStart w:id="162" w:name="_Toc484088344"/>
          <w:bookmarkEnd w:id="160"/>
          <w:r w:rsidRPr="000D4A19">
            <w:rPr>
              <w:rFonts w:asciiTheme="minorHAnsi" w:hAnsiTheme="minorHAnsi" w:cstheme="minorHAnsi"/>
              <w:b w:val="0"/>
              <w:i/>
              <w:color w:val="auto"/>
              <w:sz w:val="24"/>
              <w:szCs w:val="24"/>
              <w:lang w:val="en-GB"/>
            </w:rPr>
            <w:t>Advice, training and awareness</w:t>
          </w:r>
          <w:bookmarkEnd w:id="161"/>
          <w:r w:rsidR="009B46DE" w:rsidRPr="000D4A19">
            <w:rPr>
              <w:rFonts w:asciiTheme="minorHAnsi" w:hAnsiTheme="minorHAnsi" w:cstheme="minorHAnsi"/>
              <w:b w:val="0"/>
              <w:i/>
              <w:color w:val="auto"/>
              <w:sz w:val="24"/>
              <w:szCs w:val="24"/>
              <w:lang w:val="en-GB"/>
            </w:rPr>
            <w:t xml:space="preserve"> </w:t>
          </w:r>
        </w:p>
        <w:bookmarkEnd w:id="162"/>
        <w:p w14:paraId="6005F881" w14:textId="77777777" w:rsidR="009919AC" w:rsidRPr="000D4A19" w:rsidRDefault="009919AC" w:rsidP="00051311">
          <w:pPr>
            <w:spacing w:after="0" w:line="240" w:lineRule="auto"/>
            <w:jc w:val="both"/>
            <w:rPr>
              <w:rFonts w:cstheme="minorHAnsi"/>
              <w:sz w:val="24"/>
              <w:szCs w:val="24"/>
              <w:lang w:val="en-GB"/>
            </w:rPr>
          </w:pPr>
        </w:p>
        <w:p w14:paraId="2D71D1D0" w14:textId="2A13A22C" w:rsidR="007A2529" w:rsidRPr="000D4A19" w:rsidRDefault="009919AC" w:rsidP="00051311">
          <w:pPr>
            <w:numPr>
              <w:ilvl w:val="0"/>
              <w:numId w:val="1"/>
            </w:numPr>
            <w:tabs>
              <w:tab w:val="left" w:pos="709"/>
              <w:tab w:val="num" w:pos="1557"/>
              <w:tab w:val="num" w:pos="8222"/>
            </w:tabs>
            <w:spacing w:after="0" w:line="240" w:lineRule="auto"/>
            <w:ind w:left="0" w:firstLine="0"/>
            <w:jc w:val="both"/>
            <w:rPr>
              <w:rFonts w:eastAsiaTheme="majorEastAsia" w:cstheme="majorBidi"/>
              <w:bCs/>
              <w:sz w:val="20"/>
              <w:szCs w:val="20"/>
              <w:lang w:val="en-GB"/>
            </w:rPr>
          </w:pPr>
          <w:r w:rsidRPr="000D4A19">
            <w:rPr>
              <w:rFonts w:ascii="Calibri" w:eastAsiaTheme="majorEastAsia" w:hAnsi="Calibri" w:cstheme="majorBidi"/>
              <w:bCs/>
              <w:sz w:val="24"/>
              <w:szCs w:val="24"/>
              <w:lang w:val="en-GB"/>
            </w:rPr>
            <w:t xml:space="preserve">Training is provided by the </w:t>
          </w:r>
          <w:r w:rsidRPr="000D4A19">
            <w:rPr>
              <w:rFonts w:ascii="Calibri" w:eastAsiaTheme="majorEastAsia" w:hAnsi="Calibri" w:cstheme="majorBidi"/>
              <w:bCs/>
              <w:sz w:val="24"/>
              <w:szCs w:val="24"/>
              <w:u w:val="single"/>
              <w:lang w:val="en-GB"/>
            </w:rPr>
            <w:t>Police Academy</w:t>
          </w:r>
          <w:r w:rsidRPr="000D4A19">
            <w:rPr>
              <w:rFonts w:ascii="Calibri" w:eastAsiaTheme="majorEastAsia" w:hAnsi="Calibri" w:cstheme="majorBidi"/>
              <w:bCs/>
              <w:sz w:val="24"/>
              <w:szCs w:val="24"/>
              <w:lang w:val="en-GB"/>
            </w:rPr>
            <w:t xml:space="preserve">, which is a unit of the Ministry of the Interior, responsible for carrying out </w:t>
          </w:r>
          <w:r w:rsidR="002842BC" w:rsidRPr="000D4A19">
            <w:rPr>
              <w:rFonts w:ascii="Calibri" w:eastAsiaTheme="majorEastAsia" w:hAnsi="Calibri" w:cstheme="majorBidi"/>
              <w:bCs/>
              <w:sz w:val="24"/>
              <w:szCs w:val="24"/>
              <w:lang w:val="en-GB"/>
            </w:rPr>
            <w:t xml:space="preserve">the </w:t>
          </w:r>
          <w:r w:rsidRPr="000D4A19">
            <w:rPr>
              <w:rFonts w:ascii="Calibri" w:eastAsiaTheme="majorEastAsia" w:hAnsi="Calibri" w:cstheme="majorBidi"/>
              <w:bCs/>
              <w:sz w:val="24"/>
              <w:szCs w:val="24"/>
              <w:lang w:val="en-GB"/>
            </w:rPr>
            <w:t xml:space="preserve">basic </w:t>
          </w:r>
          <w:r w:rsidR="00276563" w:rsidRPr="000D4A19">
            <w:rPr>
              <w:rFonts w:ascii="Calibri" w:eastAsiaTheme="majorEastAsia" w:hAnsi="Calibri" w:cstheme="majorBidi"/>
              <w:bCs/>
              <w:sz w:val="24"/>
              <w:szCs w:val="24"/>
              <w:lang w:val="en-GB"/>
            </w:rPr>
            <w:t xml:space="preserve">12-month </w:t>
          </w:r>
          <w:r w:rsidRPr="000D4A19">
            <w:rPr>
              <w:rFonts w:ascii="Calibri" w:eastAsiaTheme="majorEastAsia" w:hAnsi="Calibri" w:cstheme="majorBidi"/>
              <w:bCs/>
              <w:sz w:val="24"/>
              <w:szCs w:val="24"/>
              <w:lang w:val="en-GB"/>
            </w:rPr>
            <w:t xml:space="preserve">training of future police officers, university-level training and specialised training courses. The Police College (higher education, accredited as such by the Ministry of Science, Education and Sport), the Josip Jović Police School (basic education of future police officers) and the Department for Professional Development and Specialisation (planning, programming and supervision over all education programmes) all form part of the Police Academy. Various training modules on </w:t>
          </w:r>
          <w:r w:rsidR="002842BC" w:rsidRPr="000D4A19">
            <w:rPr>
              <w:rFonts w:ascii="Calibri" w:eastAsiaTheme="majorEastAsia" w:hAnsi="Calibri" w:cstheme="majorBidi"/>
              <w:bCs/>
              <w:sz w:val="24"/>
              <w:szCs w:val="24"/>
              <w:lang w:val="en-GB"/>
            </w:rPr>
            <w:t xml:space="preserve">corruption-related </w:t>
          </w:r>
          <w:r w:rsidR="00DC399E" w:rsidRPr="000D4A19">
            <w:rPr>
              <w:rFonts w:ascii="Calibri" w:eastAsiaTheme="majorEastAsia" w:hAnsi="Calibri" w:cstheme="majorBidi"/>
              <w:bCs/>
              <w:sz w:val="24"/>
              <w:szCs w:val="24"/>
              <w:lang w:val="en-GB"/>
            </w:rPr>
            <w:t xml:space="preserve">criminal offences </w:t>
          </w:r>
          <w:r w:rsidRPr="000D4A19">
            <w:rPr>
              <w:rFonts w:ascii="Calibri" w:eastAsiaTheme="majorEastAsia" w:hAnsi="Calibri" w:cstheme="majorBidi"/>
              <w:bCs/>
              <w:sz w:val="24"/>
              <w:szCs w:val="24"/>
              <w:lang w:val="en-GB"/>
            </w:rPr>
            <w:t>are offered</w:t>
          </w:r>
          <w:r w:rsidR="002842BC" w:rsidRPr="000D4A19">
            <w:rPr>
              <w:rFonts w:ascii="Calibri" w:eastAsiaTheme="majorEastAsia" w:hAnsi="Calibri" w:cstheme="majorBidi"/>
              <w:bCs/>
              <w:sz w:val="24"/>
              <w:szCs w:val="24"/>
              <w:lang w:val="en-GB"/>
            </w:rPr>
            <w:t xml:space="preserve"> in both the initial and in-service training</w:t>
          </w:r>
          <w:r w:rsidRPr="000D4A19">
            <w:rPr>
              <w:rFonts w:ascii="Calibri" w:eastAsiaTheme="majorEastAsia" w:hAnsi="Calibri" w:cstheme="majorBidi"/>
              <w:bCs/>
              <w:sz w:val="24"/>
              <w:szCs w:val="24"/>
              <w:lang w:val="en-GB"/>
            </w:rPr>
            <w:t>.</w:t>
          </w:r>
          <w:r w:rsidRPr="000D4A19">
            <w:rPr>
              <w:rStyle w:val="Referencafusnote"/>
              <w:rFonts w:ascii="Calibri" w:eastAsiaTheme="majorEastAsia" w:hAnsi="Calibri" w:cstheme="majorBidi"/>
              <w:bCs/>
              <w:sz w:val="24"/>
              <w:szCs w:val="24"/>
              <w:lang w:val="en-GB"/>
            </w:rPr>
            <w:footnoteReference w:id="56"/>
          </w:r>
          <w:r w:rsidRPr="000D4A19">
            <w:rPr>
              <w:rFonts w:ascii="Calibri" w:eastAsiaTheme="majorEastAsia" w:hAnsi="Calibri" w:cstheme="majorBidi"/>
              <w:bCs/>
              <w:sz w:val="24"/>
              <w:szCs w:val="24"/>
              <w:lang w:val="en-GB"/>
            </w:rPr>
            <w:t xml:space="preserve"> </w:t>
          </w:r>
          <w:r w:rsidR="004C08E5" w:rsidRPr="000D4A19">
            <w:rPr>
              <w:rFonts w:ascii="Calibri" w:eastAsiaTheme="majorEastAsia" w:hAnsi="Calibri" w:cstheme="majorBidi"/>
              <w:bCs/>
              <w:sz w:val="24"/>
              <w:szCs w:val="24"/>
              <w:lang w:val="en-GB"/>
            </w:rPr>
            <w:t>“</w:t>
          </w:r>
          <w:r w:rsidRPr="000D4A19">
            <w:rPr>
              <w:rFonts w:ascii="Calibri" w:eastAsiaTheme="majorEastAsia" w:hAnsi="Calibri" w:cstheme="majorBidi"/>
              <w:bCs/>
              <w:sz w:val="24"/>
              <w:szCs w:val="24"/>
              <w:lang w:val="en-GB"/>
            </w:rPr>
            <w:t>Police ethics</w:t>
          </w:r>
          <w:r w:rsidR="004C08E5" w:rsidRPr="000D4A19">
            <w:rPr>
              <w:rFonts w:ascii="Calibri" w:eastAsiaTheme="majorEastAsia" w:hAnsi="Calibri" w:cstheme="majorBidi"/>
              <w:bCs/>
              <w:sz w:val="24"/>
              <w:szCs w:val="24"/>
              <w:lang w:val="en-GB"/>
            </w:rPr>
            <w:t>”</w:t>
          </w:r>
          <w:r w:rsidRPr="000D4A19">
            <w:rPr>
              <w:rFonts w:ascii="Calibri" w:eastAsiaTheme="majorEastAsia" w:hAnsi="Calibri" w:cstheme="majorBidi"/>
              <w:bCs/>
              <w:sz w:val="24"/>
              <w:szCs w:val="24"/>
              <w:lang w:val="en-GB"/>
            </w:rPr>
            <w:t xml:space="preserve"> </w:t>
          </w:r>
          <w:r w:rsidR="00877281" w:rsidRPr="000D4A19">
            <w:rPr>
              <w:rFonts w:ascii="Calibri" w:eastAsiaTheme="majorEastAsia" w:hAnsi="Calibri" w:cstheme="majorBidi"/>
              <w:bCs/>
              <w:sz w:val="24"/>
              <w:szCs w:val="24"/>
              <w:lang w:val="en-GB"/>
            </w:rPr>
            <w:t xml:space="preserve">in turn </w:t>
          </w:r>
          <w:r w:rsidRPr="000D4A19">
            <w:rPr>
              <w:rFonts w:ascii="Calibri" w:eastAsiaTheme="majorEastAsia" w:hAnsi="Calibri" w:cstheme="majorBidi"/>
              <w:bCs/>
              <w:sz w:val="24"/>
              <w:szCs w:val="24"/>
              <w:lang w:val="en-GB"/>
            </w:rPr>
            <w:t>is taught as an optional</w:t>
          </w:r>
          <w:r w:rsidR="004C08E5" w:rsidRPr="000D4A19">
            <w:rPr>
              <w:rFonts w:ascii="Calibri" w:eastAsiaTheme="majorEastAsia" w:hAnsi="Calibri" w:cstheme="majorBidi"/>
              <w:bCs/>
              <w:sz w:val="24"/>
              <w:szCs w:val="24"/>
              <w:lang w:val="en-GB"/>
            </w:rPr>
            <w:t xml:space="preserve"> </w:t>
          </w:r>
          <w:r w:rsidRPr="000D4A19">
            <w:rPr>
              <w:rFonts w:ascii="Calibri" w:eastAsiaTheme="majorEastAsia" w:hAnsi="Calibri" w:cstheme="majorBidi"/>
              <w:bCs/>
              <w:sz w:val="24"/>
              <w:szCs w:val="24"/>
              <w:lang w:val="en-GB"/>
            </w:rPr>
            <w:t>subject for part-time students enrolled in the specialist graduate studies on criminalistics at the Police College.</w:t>
          </w:r>
          <w:r w:rsidR="004C08E5" w:rsidRPr="000D4A19">
            <w:rPr>
              <w:rStyle w:val="Referencafusnote"/>
              <w:rFonts w:ascii="Calibri" w:eastAsiaTheme="majorEastAsia" w:hAnsi="Calibri" w:cstheme="majorBidi"/>
              <w:bCs/>
              <w:sz w:val="24"/>
              <w:szCs w:val="24"/>
              <w:lang w:val="en-GB"/>
            </w:rPr>
            <w:footnoteReference w:id="57"/>
          </w:r>
          <w:r w:rsidR="004C08E5" w:rsidRPr="000D4A19">
            <w:rPr>
              <w:rFonts w:ascii="Calibri" w:eastAsiaTheme="majorEastAsia" w:hAnsi="Calibri" w:cstheme="majorBidi"/>
              <w:bCs/>
              <w:sz w:val="24"/>
              <w:szCs w:val="24"/>
              <w:lang w:val="en-GB"/>
            </w:rPr>
            <w:t xml:space="preserve"> </w:t>
          </w:r>
          <w:r w:rsidRPr="000D4A19">
            <w:rPr>
              <w:rFonts w:ascii="Calibri" w:eastAsiaTheme="majorEastAsia" w:hAnsi="Calibri" w:cstheme="majorBidi"/>
              <w:bCs/>
              <w:sz w:val="24"/>
              <w:szCs w:val="24"/>
              <w:lang w:val="en-GB"/>
            </w:rPr>
            <w:t xml:space="preserve"> </w:t>
          </w:r>
          <w:r w:rsidR="004C08E5" w:rsidRPr="000D4A19">
            <w:rPr>
              <w:rFonts w:ascii="Calibri" w:eastAsiaTheme="majorEastAsia" w:hAnsi="Calibri" w:cstheme="majorBidi"/>
              <w:bCs/>
              <w:sz w:val="24"/>
              <w:szCs w:val="24"/>
              <w:lang w:val="en-GB"/>
            </w:rPr>
            <w:t>There is</w:t>
          </w:r>
          <w:r w:rsidR="00EF1295" w:rsidRPr="000D4A19">
            <w:rPr>
              <w:rFonts w:ascii="Calibri" w:eastAsiaTheme="majorEastAsia" w:hAnsi="Calibri" w:cstheme="majorBidi"/>
              <w:bCs/>
              <w:sz w:val="24"/>
              <w:szCs w:val="24"/>
              <w:lang w:val="en-GB"/>
            </w:rPr>
            <w:t>,</w:t>
          </w:r>
          <w:r w:rsidR="004C08E5" w:rsidRPr="000D4A19">
            <w:rPr>
              <w:rFonts w:ascii="Calibri" w:eastAsiaTheme="majorEastAsia" w:hAnsi="Calibri" w:cstheme="majorBidi"/>
              <w:bCs/>
              <w:sz w:val="24"/>
              <w:szCs w:val="24"/>
              <w:lang w:val="en-GB"/>
            </w:rPr>
            <w:t xml:space="preserve"> furthermore</w:t>
          </w:r>
          <w:r w:rsidR="00EF1295" w:rsidRPr="000D4A19">
            <w:rPr>
              <w:rFonts w:ascii="Calibri" w:eastAsiaTheme="majorEastAsia" w:hAnsi="Calibri" w:cstheme="majorBidi"/>
              <w:bCs/>
              <w:sz w:val="24"/>
              <w:szCs w:val="24"/>
              <w:lang w:val="en-GB"/>
            </w:rPr>
            <w:t>,</w:t>
          </w:r>
          <w:r w:rsidR="004C08E5" w:rsidRPr="000D4A19">
            <w:rPr>
              <w:rFonts w:ascii="Calibri" w:eastAsiaTheme="majorEastAsia" w:hAnsi="Calibri" w:cstheme="majorBidi"/>
              <w:bCs/>
              <w:sz w:val="24"/>
              <w:szCs w:val="24"/>
              <w:lang w:val="en-GB"/>
            </w:rPr>
            <w:t xml:space="preserve"> a mandatory subject “Prevention of corruption” </w:t>
          </w:r>
          <w:r w:rsidR="00B02991" w:rsidRPr="000D4A19">
            <w:rPr>
              <w:rFonts w:ascii="Calibri" w:eastAsiaTheme="majorEastAsia" w:hAnsi="Calibri" w:cstheme="majorBidi"/>
              <w:bCs/>
              <w:sz w:val="24"/>
              <w:szCs w:val="24"/>
              <w:lang w:val="en-GB"/>
            </w:rPr>
            <w:t xml:space="preserve">for those </w:t>
          </w:r>
          <w:r w:rsidR="008A0D12" w:rsidRPr="000D4A19">
            <w:rPr>
              <w:rFonts w:ascii="Calibri" w:eastAsiaTheme="majorEastAsia" w:hAnsi="Calibri" w:cstheme="majorBidi"/>
              <w:bCs/>
              <w:sz w:val="24"/>
              <w:szCs w:val="24"/>
              <w:lang w:val="en-GB"/>
            </w:rPr>
            <w:t xml:space="preserve">majoring in “Police Studies” </w:t>
          </w:r>
          <w:r w:rsidR="00B02991" w:rsidRPr="000D4A19">
            <w:rPr>
              <w:rFonts w:ascii="Calibri" w:eastAsiaTheme="majorEastAsia" w:hAnsi="Calibri" w:cstheme="majorBidi"/>
              <w:bCs/>
              <w:sz w:val="24"/>
              <w:szCs w:val="24"/>
              <w:lang w:val="en-GB"/>
            </w:rPr>
            <w:t xml:space="preserve">(30 hours in the sixth semester), as well as </w:t>
          </w:r>
          <w:r w:rsidR="00F3203E" w:rsidRPr="000D4A19">
            <w:rPr>
              <w:rFonts w:ascii="Calibri" w:eastAsiaTheme="majorEastAsia" w:hAnsi="Calibri" w:cstheme="majorBidi"/>
              <w:bCs/>
              <w:sz w:val="24"/>
              <w:szCs w:val="24"/>
              <w:lang w:val="en-GB"/>
            </w:rPr>
            <w:t xml:space="preserve">a subject “Methods for the prevention of corruption” (30 hours) as part of the specialist graduate professional study of criminalistics </w:t>
          </w:r>
          <w:r w:rsidR="00C17F1D" w:rsidRPr="000D4A19">
            <w:rPr>
              <w:rFonts w:ascii="Calibri" w:eastAsiaTheme="majorEastAsia" w:hAnsi="Calibri" w:cstheme="majorBidi"/>
              <w:bCs/>
              <w:sz w:val="24"/>
              <w:szCs w:val="24"/>
              <w:lang w:val="en-GB"/>
            </w:rPr>
            <w:t>for 63 students.</w:t>
          </w:r>
          <w:r w:rsidR="007A2529" w:rsidRPr="000D4A19">
            <w:rPr>
              <w:rFonts w:ascii="Calibri" w:eastAsiaTheme="majorEastAsia" w:hAnsi="Calibri" w:cstheme="majorBidi"/>
              <w:bCs/>
              <w:sz w:val="24"/>
              <w:szCs w:val="24"/>
              <w:lang w:val="en-GB"/>
            </w:rPr>
            <w:t xml:space="preserve"> </w:t>
          </w:r>
          <w:r w:rsidR="00A07D80" w:rsidRPr="000D4A19">
            <w:rPr>
              <w:rFonts w:ascii="Calibri" w:eastAsiaTheme="majorEastAsia" w:hAnsi="Calibri" w:cstheme="majorBidi"/>
              <w:bCs/>
              <w:sz w:val="24"/>
              <w:szCs w:val="24"/>
              <w:lang w:val="en-GB"/>
            </w:rPr>
            <w:t>Finally, more targeted training is provided to police officers of the Internal Control D</w:t>
          </w:r>
          <w:r w:rsidR="000D6795" w:rsidRPr="000D4A19">
            <w:rPr>
              <w:rFonts w:ascii="Calibri" w:eastAsiaTheme="majorEastAsia" w:hAnsi="Calibri" w:cstheme="majorBidi"/>
              <w:bCs/>
              <w:sz w:val="24"/>
              <w:szCs w:val="24"/>
              <w:lang w:val="en-GB"/>
            </w:rPr>
            <w:t>ivision</w:t>
          </w:r>
          <w:r w:rsidR="002842BC" w:rsidRPr="000D4A19">
            <w:rPr>
              <w:rFonts w:ascii="Calibri" w:eastAsiaTheme="majorEastAsia" w:hAnsi="Calibri" w:cstheme="majorBidi"/>
              <w:bCs/>
              <w:sz w:val="24"/>
              <w:szCs w:val="24"/>
              <w:lang w:val="en-GB"/>
            </w:rPr>
            <w:t xml:space="preserve">, specifically focused on </w:t>
          </w:r>
          <w:r w:rsidR="000D3A85" w:rsidRPr="000D4A19">
            <w:rPr>
              <w:rFonts w:ascii="Calibri" w:eastAsiaTheme="majorEastAsia" w:hAnsi="Calibri" w:cstheme="majorBidi"/>
              <w:bCs/>
              <w:sz w:val="24"/>
              <w:szCs w:val="24"/>
              <w:lang w:val="en-GB"/>
            </w:rPr>
            <w:t>their analytical and investigative work</w:t>
          </w:r>
          <w:r w:rsidR="00A07D80" w:rsidRPr="000D4A19">
            <w:rPr>
              <w:rFonts w:ascii="Calibri" w:eastAsiaTheme="majorEastAsia" w:hAnsi="Calibri" w:cstheme="majorBidi"/>
              <w:bCs/>
              <w:sz w:val="24"/>
              <w:szCs w:val="24"/>
              <w:lang w:val="en-GB"/>
            </w:rPr>
            <w:t xml:space="preserve">. </w:t>
          </w:r>
        </w:p>
        <w:p w14:paraId="53CFBE93" w14:textId="77777777" w:rsidR="007A2529" w:rsidRPr="000D4A19" w:rsidRDefault="007A2529" w:rsidP="007A2529">
          <w:pPr>
            <w:tabs>
              <w:tab w:val="left" w:pos="709"/>
              <w:tab w:val="num" w:pos="8222"/>
            </w:tabs>
            <w:spacing w:after="0" w:line="240" w:lineRule="auto"/>
            <w:jc w:val="both"/>
            <w:rPr>
              <w:rFonts w:eastAsiaTheme="majorEastAsia" w:cstheme="majorBidi"/>
              <w:bCs/>
              <w:sz w:val="20"/>
              <w:szCs w:val="20"/>
              <w:lang w:val="en-GB"/>
            </w:rPr>
          </w:pPr>
        </w:p>
        <w:p w14:paraId="5F371EA4" w14:textId="1A1479C7" w:rsidR="00441857" w:rsidRPr="000D4A19" w:rsidRDefault="00031368" w:rsidP="00031368">
          <w:pPr>
            <w:numPr>
              <w:ilvl w:val="0"/>
              <w:numId w:val="1"/>
            </w:numPr>
            <w:tabs>
              <w:tab w:val="left" w:pos="709"/>
              <w:tab w:val="num" w:pos="1557"/>
              <w:tab w:val="num" w:pos="8222"/>
            </w:tabs>
            <w:spacing w:after="0" w:line="240" w:lineRule="auto"/>
            <w:ind w:left="0" w:firstLine="0"/>
            <w:jc w:val="both"/>
            <w:rPr>
              <w:i/>
              <w:sz w:val="24"/>
              <w:szCs w:val="24"/>
              <w:lang w:val="en-GB"/>
            </w:rPr>
          </w:pPr>
          <w:r w:rsidRPr="000D4A19">
            <w:rPr>
              <w:rFonts w:ascii="Calibri" w:eastAsiaTheme="majorEastAsia" w:hAnsi="Calibri" w:cstheme="majorBidi"/>
              <w:bCs/>
              <w:sz w:val="24"/>
              <w:szCs w:val="24"/>
              <w:lang w:val="en-GB"/>
            </w:rPr>
            <w:t xml:space="preserve">The </w:t>
          </w:r>
          <w:r w:rsidR="00A07D80" w:rsidRPr="000D4A19">
            <w:rPr>
              <w:rFonts w:ascii="Calibri" w:eastAsiaTheme="majorEastAsia" w:hAnsi="Calibri" w:cstheme="majorBidi"/>
              <w:bCs/>
              <w:sz w:val="24"/>
              <w:szCs w:val="24"/>
              <w:lang w:val="en-GB"/>
            </w:rPr>
            <w:t>basic training programme f</w:t>
          </w:r>
          <w:r w:rsidRPr="000D4A19">
            <w:rPr>
              <w:rFonts w:ascii="Calibri" w:eastAsiaTheme="majorEastAsia" w:hAnsi="Calibri" w:cstheme="majorBidi"/>
              <w:bCs/>
              <w:sz w:val="24"/>
              <w:szCs w:val="24"/>
              <w:lang w:val="en-GB"/>
            </w:rPr>
            <w:t>or uniformed police officers has been amended</w:t>
          </w:r>
          <w:r w:rsidR="00A07D80" w:rsidRPr="000D4A19">
            <w:rPr>
              <w:rFonts w:ascii="Calibri" w:eastAsiaTheme="majorEastAsia" w:hAnsi="Calibri" w:cstheme="majorBidi"/>
              <w:bCs/>
              <w:sz w:val="24"/>
              <w:szCs w:val="24"/>
              <w:lang w:val="en-GB"/>
            </w:rPr>
            <w:t xml:space="preserve">, as </w:t>
          </w:r>
          <w:r w:rsidR="00E05969" w:rsidRPr="000D4A19">
            <w:rPr>
              <w:rFonts w:ascii="Calibri" w:eastAsiaTheme="majorEastAsia" w:hAnsi="Calibri" w:cstheme="majorBidi"/>
              <w:bCs/>
              <w:sz w:val="24"/>
              <w:szCs w:val="24"/>
              <w:lang w:val="en-GB"/>
            </w:rPr>
            <w:t>the previous programme</w:t>
          </w:r>
          <w:r w:rsidR="00A07D80" w:rsidRPr="000D4A19">
            <w:rPr>
              <w:rFonts w:ascii="Calibri" w:eastAsiaTheme="majorEastAsia" w:hAnsi="Calibri" w:cstheme="majorBidi"/>
              <w:bCs/>
              <w:sz w:val="24"/>
              <w:szCs w:val="24"/>
              <w:lang w:val="en-GB"/>
            </w:rPr>
            <w:t xml:space="preserve"> was </w:t>
          </w:r>
          <w:r w:rsidR="00EF1295" w:rsidRPr="000D4A19">
            <w:rPr>
              <w:rFonts w:ascii="Calibri" w:eastAsiaTheme="majorEastAsia" w:hAnsi="Calibri" w:cstheme="majorBidi"/>
              <w:bCs/>
              <w:sz w:val="24"/>
              <w:szCs w:val="24"/>
              <w:lang w:val="en-GB"/>
            </w:rPr>
            <w:t xml:space="preserve">not </w:t>
          </w:r>
          <w:r w:rsidRPr="000D4A19">
            <w:rPr>
              <w:rFonts w:ascii="Calibri" w:eastAsiaTheme="majorEastAsia" w:hAnsi="Calibri" w:cstheme="majorBidi"/>
              <w:bCs/>
              <w:sz w:val="24"/>
              <w:szCs w:val="24"/>
              <w:lang w:val="en-GB"/>
            </w:rPr>
            <w:t>considered</w:t>
          </w:r>
          <w:r w:rsidR="00A07D80" w:rsidRPr="000D4A19">
            <w:rPr>
              <w:rFonts w:ascii="Calibri" w:eastAsiaTheme="majorEastAsia" w:hAnsi="Calibri" w:cstheme="majorBidi"/>
              <w:bCs/>
              <w:sz w:val="24"/>
              <w:szCs w:val="24"/>
              <w:lang w:val="en-GB"/>
            </w:rPr>
            <w:t xml:space="preserve"> </w:t>
          </w:r>
          <w:r w:rsidR="00EF1295" w:rsidRPr="000D4A19">
            <w:rPr>
              <w:rFonts w:ascii="Calibri" w:eastAsiaTheme="majorEastAsia" w:hAnsi="Calibri" w:cstheme="majorBidi"/>
              <w:bCs/>
              <w:sz w:val="24"/>
              <w:szCs w:val="24"/>
              <w:lang w:val="en-GB"/>
            </w:rPr>
            <w:t>sufficiently</w:t>
          </w:r>
          <w:r w:rsidR="00A07D80" w:rsidRPr="000D4A19">
            <w:rPr>
              <w:rFonts w:ascii="Calibri" w:eastAsiaTheme="majorEastAsia" w:hAnsi="Calibri" w:cstheme="majorBidi"/>
              <w:bCs/>
              <w:sz w:val="24"/>
              <w:szCs w:val="24"/>
              <w:lang w:val="en-GB"/>
            </w:rPr>
            <w:t xml:space="preserve"> practical. </w:t>
          </w:r>
          <w:r w:rsidR="00E05969" w:rsidRPr="000D4A19">
            <w:rPr>
              <w:rFonts w:ascii="Calibri" w:eastAsiaTheme="majorEastAsia" w:hAnsi="Calibri" w:cstheme="majorBidi"/>
              <w:bCs/>
              <w:sz w:val="24"/>
              <w:szCs w:val="24"/>
              <w:lang w:val="en-GB"/>
            </w:rPr>
            <w:t>M</w:t>
          </w:r>
          <w:r w:rsidR="00A07D80" w:rsidRPr="000D4A19">
            <w:rPr>
              <w:rFonts w:ascii="Calibri" w:eastAsiaTheme="majorEastAsia" w:hAnsi="Calibri" w:cstheme="majorBidi"/>
              <w:bCs/>
              <w:sz w:val="24"/>
              <w:szCs w:val="24"/>
              <w:lang w:val="en-GB"/>
            </w:rPr>
            <w:t>ore specifically as regards</w:t>
          </w:r>
          <w:r w:rsidR="007A2529" w:rsidRPr="000D4A19">
            <w:rPr>
              <w:rFonts w:ascii="Calibri" w:eastAsiaTheme="majorEastAsia" w:hAnsi="Calibri" w:cstheme="majorBidi"/>
              <w:bCs/>
              <w:sz w:val="24"/>
              <w:szCs w:val="24"/>
              <w:lang w:val="en-GB"/>
            </w:rPr>
            <w:t xml:space="preserve"> integrity and unlawful conduct</w:t>
          </w:r>
          <w:r w:rsidR="00A07D80" w:rsidRPr="000D4A19">
            <w:rPr>
              <w:rFonts w:ascii="Calibri" w:eastAsiaTheme="majorEastAsia" w:hAnsi="Calibri" w:cstheme="majorBidi"/>
              <w:bCs/>
              <w:sz w:val="24"/>
              <w:szCs w:val="24"/>
              <w:lang w:val="en-GB"/>
            </w:rPr>
            <w:t xml:space="preserve">, </w:t>
          </w:r>
          <w:r w:rsidR="00B008DD" w:rsidRPr="000D4A19">
            <w:rPr>
              <w:rFonts w:ascii="Calibri" w:eastAsiaTheme="majorEastAsia" w:hAnsi="Calibri" w:cstheme="majorBidi"/>
              <w:bCs/>
              <w:sz w:val="24"/>
              <w:szCs w:val="24"/>
              <w:lang w:val="en-GB"/>
            </w:rPr>
            <w:t xml:space="preserve">the GET was told that such issues were </w:t>
          </w:r>
          <w:r w:rsidR="00A07D80" w:rsidRPr="000D4A19">
            <w:rPr>
              <w:rFonts w:ascii="Calibri" w:eastAsiaTheme="majorEastAsia" w:hAnsi="Calibri" w:cstheme="majorBidi"/>
              <w:bCs/>
              <w:sz w:val="24"/>
              <w:szCs w:val="24"/>
              <w:lang w:val="en-GB"/>
            </w:rPr>
            <w:t xml:space="preserve">mainstreamed in every subject of the basic training, in addition to the specialised courses mentioned above. </w:t>
          </w:r>
          <w:r w:rsidR="00876CB2" w:rsidRPr="000D4A19">
            <w:rPr>
              <w:rFonts w:ascii="Calibri" w:eastAsiaTheme="majorEastAsia" w:hAnsi="Calibri" w:cstheme="majorBidi"/>
              <w:bCs/>
              <w:sz w:val="24"/>
              <w:szCs w:val="24"/>
              <w:lang w:val="en-GB"/>
            </w:rPr>
            <w:t>Furthermore, upon admission to the police, police officers are required to sign a statement on the rights and obligations of a police officer, pursuant to Article 27 of the Police Act, with which they pledge to comply with the law and other regulations on the police, including the provisions of the Code of Ethics of Police Officers.</w:t>
          </w:r>
          <w:r w:rsidR="00876CB2" w:rsidRPr="000D4A19">
            <w:rPr>
              <w:rStyle w:val="Referencafusnote"/>
              <w:rFonts w:ascii="Calibri" w:eastAsiaTheme="majorEastAsia" w:hAnsi="Calibri" w:cstheme="majorBidi"/>
              <w:bCs/>
              <w:sz w:val="24"/>
              <w:szCs w:val="24"/>
              <w:lang w:val="en-GB"/>
            </w:rPr>
            <w:footnoteReference w:id="58"/>
          </w:r>
          <w:r w:rsidR="00876CB2" w:rsidRPr="000D4A19">
            <w:rPr>
              <w:rFonts w:ascii="Calibri" w:eastAsiaTheme="majorEastAsia" w:hAnsi="Calibri" w:cstheme="majorBidi"/>
              <w:bCs/>
              <w:sz w:val="24"/>
              <w:szCs w:val="24"/>
              <w:lang w:val="en-GB"/>
            </w:rPr>
            <w:t xml:space="preserve"> </w:t>
          </w:r>
          <w:r w:rsidRPr="000D4A19">
            <w:rPr>
              <w:rFonts w:ascii="Calibri" w:eastAsiaTheme="majorEastAsia" w:hAnsi="Calibri" w:cstheme="majorBidi"/>
              <w:bCs/>
              <w:sz w:val="24"/>
              <w:szCs w:val="24"/>
              <w:lang w:val="en-GB"/>
            </w:rPr>
            <w:t>P</w:t>
          </w:r>
          <w:r w:rsidR="00B008DD" w:rsidRPr="000D4A19">
            <w:rPr>
              <w:rFonts w:ascii="Calibri" w:eastAsiaTheme="majorEastAsia" w:hAnsi="Calibri" w:cstheme="majorBidi"/>
              <w:bCs/>
              <w:sz w:val="24"/>
              <w:szCs w:val="24"/>
              <w:lang w:val="en-GB"/>
            </w:rPr>
            <w:t>olice</w:t>
          </w:r>
          <w:r w:rsidRPr="000D4A19">
            <w:rPr>
              <w:rFonts w:ascii="Calibri" w:eastAsiaTheme="majorEastAsia" w:hAnsi="Calibri" w:cstheme="majorBidi"/>
              <w:bCs/>
              <w:sz w:val="24"/>
              <w:szCs w:val="24"/>
              <w:lang w:val="en-GB"/>
            </w:rPr>
            <w:t xml:space="preserve"> staff</w:t>
          </w:r>
          <w:r w:rsidR="00B008DD" w:rsidRPr="000D4A19">
            <w:rPr>
              <w:rFonts w:ascii="Calibri" w:eastAsiaTheme="majorEastAsia" w:hAnsi="Calibri" w:cstheme="majorBidi"/>
              <w:bCs/>
              <w:sz w:val="24"/>
              <w:szCs w:val="24"/>
              <w:lang w:val="en-GB"/>
            </w:rPr>
            <w:t xml:space="preserve"> </w:t>
          </w:r>
          <w:r w:rsidR="00C7338E" w:rsidRPr="000D4A19">
            <w:rPr>
              <w:rFonts w:ascii="Calibri" w:eastAsiaTheme="majorEastAsia" w:hAnsi="Calibri" w:cstheme="majorBidi"/>
              <w:bCs/>
              <w:sz w:val="24"/>
              <w:szCs w:val="24"/>
              <w:lang w:val="en-GB"/>
            </w:rPr>
            <w:t>c</w:t>
          </w:r>
          <w:r w:rsidR="00B008DD" w:rsidRPr="000D4A19">
            <w:rPr>
              <w:rFonts w:ascii="Calibri" w:eastAsiaTheme="majorEastAsia" w:hAnsi="Calibri" w:cstheme="majorBidi"/>
              <w:bCs/>
              <w:sz w:val="24"/>
              <w:szCs w:val="24"/>
              <w:lang w:val="en-GB"/>
            </w:rPr>
            <w:t xml:space="preserve">ould </w:t>
          </w:r>
          <w:r w:rsidR="00AB3EC2" w:rsidRPr="000D4A19">
            <w:rPr>
              <w:rFonts w:ascii="Calibri" w:eastAsiaTheme="majorEastAsia" w:hAnsi="Calibri" w:cstheme="majorBidi"/>
              <w:bCs/>
              <w:sz w:val="24"/>
              <w:szCs w:val="24"/>
              <w:lang w:val="en-GB"/>
            </w:rPr>
            <w:t xml:space="preserve">furthermore find information on the prevention of corruption within the police on the website of the Ministry of the Interior and could address ethics </w:t>
          </w:r>
          <w:r w:rsidR="008D1F47" w:rsidRPr="000D4A19">
            <w:rPr>
              <w:rFonts w:ascii="Calibri" w:eastAsiaTheme="majorEastAsia" w:hAnsi="Calibri" w:cstheme="majorBidi"/>
              <w:bCs/>
              <w:sz w:val="24"/>
              <w:szCs w:val="24"/>
              <w:lang w:val="en-GB"/>
            </w:rPr>
            <w:t xml:space="preserve">commissioners </w:t>
          </w:r>
          <w:r w:rsidR="00AB3EC2" w:rsidRPr="000D4A19">
            <w:rPr>
              <w:rFonts w:ascii="Calibri" w:eastAsiaTheme="majorEastAsia" w:hAnsi="Calibri" w:cstheme="majorBidi"/>
              <w:bCs/>
              <w:sz w:val="24"/>
              <w:szCs w:val="24"/>
              <w:lang w:val="en-GB"/>
            </w:rPr>
            <w:t xml:space="preserve">within the Ministry of the Interior for any advice on ethical dilemmas. </w:t>
          </w:r>
        </w:p>
        <w:p w14:paraId="5A07D5B9" w14:textId="77777777" w:rsidR="008D1F47" w:rsidRPr="000D4A19" w:rsidRDefault="008D1F47" w:rsidP="008D1F47">
          <w:pPr>
            <w:tabs>
              <w:tab w:val="left" w:pos="709"/>
              <w:tab w:val="num" w:pos="8222"/>
            </w:tabs>
            <w:spacing w:after="0" w:line="240" w:lineRule="auto"/>
            <w:jc w:val="both"/>
            <w:rPr>
              <w:i/>
              <w:sz w:val="24"/>
              <w:szCs w:val="24"/>
              <w:lang w:val="en-GB"/>
            </w:rPr>
          </w:pPr>
        </w:p>
        <w:p w14:paraId="24D09279" w14:textId="74865215" w:rsidR="00441857" w:rsidRPr="000D4A19" w:rsidRDefault="00031368" w:rsidP="0014676D">
          <w:pPr>
            <w:numPr>
              <w:ilvl w:val="0"/>
              <w:numId w:val="1"/>
            </w:numPr>
            <w:tabs>
              <w:tab w:val="left" w:pos="709"/>
            </w:tabs>
            <w:spacing w:after="0" w:line="240" w:lineRule="auto"/>
            <w:ind w:left="0" w:firstLine="0"/>
            <w:jc w:val="both"/>
            <w:rPr>
              <w:rFonts w:cstheme="minorHAnsi"/>
              <w:sz w:val="24"/>
              <w:szCs w:val="24"/>
              <w:lang w:val="en-GB"/>
            </w:rPr>
          </w:pPr>
          <w:r w:rsidRPr="000D4A19">
            <w:rPr>
              <w:sz w:val="24"/>
              <w:szCs w:val="24"/>
              <w:lang w:val="en-GB"/>
            </w:rPr>
            <w:t xml:space="preserve">While the GET appreciates that </w:t>
          </w:r>
          <w:r w:rsidR="00C72CCA" w:rsidRPr="000D4A19">
            <w:rPr>
              <w:sz w:val="24"/>
              <w:szCs w:val="24"/>
              <w:lang w:val="en-GB"/>
            </w:rPr>
            <w:t xml:space="preserve">issues linked to corruption prevention </w:t>
          </w:r>
          <w:r w:rsidR="00E05969" w:rsidRPr="000D4A19">
            <w:rPr>
              <w:sz w:val="24"/>
              <w:szCs w:val="24"/>
              <w:lang w:val="en-GB"/>
            </w:rPr>
            <w:t xml:space="preserve">and integrity </w:t>
          </w:r>
          <w:r w:rsidR="00C72CCA" w:rsidRPr="000D4A19">
            <w:rPr>
              <w:sz w:val="24"/>
              <w:szCs w:val="24"/>
              <w:lang w:val="en-GB"/>
            </w:rPr>
            <w:t xml:space="preserve">are </w:t>
          </w:r>
          <w:r w:rsidRPr="000D4A19">
            <w:rPr>
              <w:sz w:val="24"/>
              <w:szCs w:val="24"/>
              <w:lang w:val="en-GB"/>
            </w:rPr>
            <w:t xml:space="preserve">mainstreamed in the initial and </w:t>
          </w:r>
          <w:r w:rsidR="00E05969" w:rsidRPr="000D4A19">
            <w:rPr>
              <w:sz w:val="24"/>
              <w:szCs w:val="24"/>
              <w:lang w:val="en-GB"/>
            </w:rPr>
            <w:t xml:space="preserve">in-service </w:t>
          </w:r>
          <w:r w:rsidRPr="000D4A19">
            <w:rPr>
              <w:sz w:val="24"/>
              <w:szCs w:val="24"/>
              <w:lang w:val="en-GB"/>
            </w:rPr>
            <w:t xml:space="preserve">training of police officers, </w:t>
          </w:r>
          <w:r w:rsidR="00236441" w:rsidRPr="000D4A19">
            <w:rPr>
              <w:sz w:val="24"/>
              <w:szCs w:val="24"/>
              <w:lang w:val="en-GB"/>
            </w:rPr>
            <w:t xml:space="preserve">it takes the view that </w:t>
          </w:r>
          <w:r w:rsidR="00DD681C">
            <w:rPr>
              <w:sz w:val="24"/>
              <w:szCs w:val="24"/>
              <w:lang w:val="en-GB"/>
            </w:rPr>
            <w:t>this is not sufficient</w:t>
          </w:r>
          <w:r w:rsidR="00C72CCA" w:rsidRPr="000D4A19">
            <w:rPr>
              <w:sz w:val="24"/>
              <w:szCs w:val="24"/>
              <w:lang w:val="en-GB"/>
            </w:rPr>
            <w:t xml:space="preserve">. </w:t>
          </w:r>
          <w:r w:rsidR="00841324" w:rsidRPr="000D4A19">
            <w:rPr>
              <w:sz w:val="24"/>
              <w:szCs w:val="24"/>
              <w:lang w:val="en-GB"/>
            </w:rPr>
            <w:t>T</w:t>
          </w:r>
          <w:r w:rsidR="00C72CCA" w:rsidRPr="000D4A19">
            <w:rPr>
              <w:sz w:val="24"/>
              <w:szCs w:val="24"/>
              <w:lang w:val="en-GB"/>
            </w:rPr>
            <w:t xml:space="preserve">he </w:t>
          </w:r>
          <w:r w:rsidR="00877281" w:rsidRPr="000D4A19">
            <w:rPr>
              <w:sz w:val="24"/>
              <w:szCs w:val="24"/>
              <w:lang w:val="en-GB"/>
            </w:rPr>
            <w:t xml:space="preserve">current </w:t>
          </w:r>
          <w:r w:rsidR="00C72CCA" w:rsidRPr="000D4A19">
            <w:rPr>
              <w:sz w:val="24"/>
              <w:szCs w:val="24"/>
              <w:lang w:val="en-GB"/>
            </w:rPr>
            <w:t xml:space="preserve">focus </w:t>
          </w:r>
          <w:r w:rsidR="00877281" w:rsidRPr="000D4A19">
            <w:rPr>
              <w:sz w:val="24"/>
              <w:szCs w:val="24"/>
              <w:lang w:val="en-GB"/>
            </w:rPr>
            <w:t xml:space="preserve">seems to be </w:t>
          </w:r>
          <w:r w:rsidR="00C72CCA" w:rsidRPr="000D4A19">
            <w:rPr>
              <w:sz w:val="24"/>
              <w:szCs w:val="24"/>
              <w:lang w:val="en-GB"/>
            </w:rPr>
            <w:t xml:space="preserve">more on investigating corruption than on </w:t>
          </w:r>
          <w:r w:rsidR="00C81282" w:rsidRPr="000D4A19">
            <w:rPr>
              <w:sz w:val="24"/>
              <w:szCs w:val="24"/>
              <w:lang w:val="en-GB"/>
            </w:rPr>
            <w:t>the required (</w:t>
          </w:r>
          <w:r w:rsidR="00C72CCA" w:rsidRPr="000D4A19">
            <w:rPr>
              <w:sz w:val="24"/>
              <w:szCs w:val="24"/>
              <w:lang w:val="en-GB"/>
            </w:rPr>
            <w:t>ethical</w:t>
          </w:r>
          <w:r w:rsidR="00C81282" w:rsidRPr="000D4A19">
            <w:rPr>
              <w:sz w:val="24"/>
              <w:szCs w:val="24"/>
              <w:lang w:val="en-GB"/>
            </w:rPr>
            <w:t>)</w:t>
          </w:r>
          <w:r w:rsidR="00C72CCA" w:rsidRPr="000D4A19">
            <w:rPr>
              <w:sz w:val="24"/>
              <w:szCs w:val="24"/>
              <w:lang w:val="en-GB"/>
            </w:rPr>
            <w:t xml:space="preserve"> behaviour within the ranks of the police. </w:t>
          </w:r>
          <w:r w:rsidR="00C81282" w:rsidRPr="000D4A19">
            <w:rPr>
              <w:sz w:val="24"/>
              <w:szCs w:val="24"/>
              <w:lang w:val="en-GB"/>
            </w:rPr>
            <w:t xml:space="preserve">Furthermore, the training for serving officers </w:t>
          </w:r>
          <w:r w:rsidR="00F9332A" w:rsidRPr="000D4A19">
            <w:rPr>
              <w:sz w:val="24"/>
              <w:szCs w:val="24"/>
              <w:lang w:val="en-GB"/>
            </w:rPr>
            <w:t>is</w:t>
          </w:r>
          <w:r w:rsidR="00C81282" w:rsidRPr="000D4A19">
            <w:rPr>
              <w:sz w:val="24"/>
              <w:szCs w:val="24"/>
              <w:lang w:val="en-GB"/>
            </w:rPr>
            <w:t xml:space="preserve"> largely demand driven (at the request of officers themselves or their superiors) and seem to be of a rather </w:t>
          </w:r>
          <w:r w:rsidR="00C81282" w:rsidRPr="000D4A19">
            <w:rPr>
              <w:i/>
              <w:sz w:val="24"/>
              <w:szCs w:val="24"/>
              <w:lang w:val="en-GB"/>
            </w:rPr>
            <w:t>ad hoc</w:t>
          </w:r>
          <w:r w:rsidR="00C81282" w:rsidRPr="000D4A19">
            <w:rPr>
              <w:sz w:val="24"/>
              <w:szCs w:val="24"/>
              <w:lang w:val="en-GB"/>
            </w:rPr>
            <w:t xml:space="preserve"> nature</w:t>
          </w:r>
          <w:r w:rsidR="00C81282" w:rsidRPr="000D4A19">
            <w:rPr>
              <w:i/>
              <w:lang w:val="en-GB"/>
            </w:rPr>
            <w:t xml:space="preserve">. </w:t>
          </w:r>
          <w:r w:rsidR="00C72CCA" w:rsidRPr="000D4A19">
            <w:rPr>
              <w:sz w:val="24"/>
              <w:szCs w:val="24"/>
              <w:lang w:val="en-GB"/>
            </w:rPr>
            <w:t>As noted above, the GET already found the Code of Ethics for Police Officers an insufficient tool for guiding everyday behaviour of police staff, in particular as it leaves out some problematic issues and lacks practical guidance. Training</w:t>
          </w:r>
          <w:r w:rsidR="00C81282" w:rsidRPr="000D4A19">
            <w:rPr>
              <w:sz w:val="24"/>
              <w:szCs w:val="24"/>
              <w:lang w:val="en-GB"/>
            </w:rPr>
            <w:t xml:space="preserve"> on ethics and integrity</w:t>
          </w:r>
          <w:r w:rsidR="00C72CCA" w:rsidRPr="000D4A19">
            <w:rPr>
              <w:sz w:val="24"/>
              <w:szCs w:val="24"/>
              <w:lang w:val="en-GB"/>
            </w:rPr>
            <w:t>, both for new recruits and already serving officers, should</w:t>
          </w:r>
          <w:r w:rsidR="00C81282" w:rsidRPr="000D4A19">
            <w:rPr>
              <w:sz w:val="24"/>
              <w:szCs w:val="24"/>
              <w:lang w:val="en-GB"/>
            </w:rPr>
            <w:t xml:space="preserve"> cover all areas of concern, using a</w:t>
          </w:r>
          <w:r w:rsidR="00E05969" w:rsidRPr="000D4A19">
            <w:rPr>
              <w:sz w:val="24"/>
              <w:szCs w:val="24"/>
              <w:lang w:val="en-GB"/>
            </w:rPr>
            <w:t>s</w:t>
          </w:r>
          <w:r w:rsidR="00C81282" w:rsidRPr="000D4A19">
            <w:rPr>
              <w:sz w:val="24"/>
              <w:szCs w:val="24"/>
              <w:lang w:val="en-GB"/>
            </w:rPr>
            <w:t xml:space="preserve"> the main reference tool a revised</w:t>
          </w:r>
          <w:r w:rsidR="00236441" w:rsidRPr="000D4A19">
            <w:rPr>
              <w:sz w:val="24"/>
              <w:szCs w:val="24"/>
              <w:lang w:val="en-GB"/>
            </w:rPr>
            <w:t xml:space="preserve"> code</w:t>
          </w:r>
          <w:r w:rsidR="00C81282" w:rsidRPr="000D4A19">
            <w:rPr>
              <w:sz w:val="24"/>
              <w:szCs w:val="24"/>
              <w:lang w:val="en-GB"/>
            </w:rPr>
            <w:t>, supplemented by practical guidance, and should be based on identified risks</w:t>
          </w:r>
          <w:r w:rsidR="0067037A" w:rsidRPr="000D4A19">
            <w:rPr>
              <w:sz w:val="24"/>
              <w:szCs w:val="24"/>
              <w:lang w:val="en-GB"/>
            </w:rPr>
            <w:t xml:space="preserve">, </w:t>
          </w:r>
          <w:r w:rsidR="00C81282" w:rsidRPr="000D4A19">
            <w:rPr>
              <w:sz w:val="24"/>
              <w:szCs w:val="24"/>
              <w:lang w:val="en-GB"/>
            </w:rPr>
            <w:t>thereby taking into account the specificity of the duties and vulnerabilities of different categories of police officers.</w:t>
          </w:r>
          <w:r w:rsidR="008A0D12" w:rsidRPr="000D4A19">
            <w:rPr>
              <w:sz w:val="24"/>
              <w:szCs w:val="24"/>
              <w:lang w:val="en-GB"/>
            </w:rPr>
            <w:t xml:space="preserve"> The GET welcomes that the need for further improvements of the current training programme has been acknowledged: amendments to the blueprint of the vocational training</w:t>
          </w:r>
          <w:r w:rsidR="00875115">
            <w:rPr>
              <w:sz w:val="24"/>
              <w:szCs w:val="24"/>
              <w:lang w:val="en-GB"/>
            </w:rPr>
            <w:t xml:space="preserve"> </w:t>
          </w:r>
          <w:r w:rsidR="00875115" w:rsidRPr="000D4A19">
            <w:rPr>
              <w:sz w:val="24"/>
              <w:szCs w:val="24"/>
              <w:lang w:val="en-GB"/>
            </w:rPr>
            <w:t xml:space="preserve">programme </w:t>
          </w:r>
          <w:r w:rsidR="00875115">
            <w:rPr>
              <w:sz w:val="24"/>
              <w:szCs w:val="24"/>
              <w:lang w:val="en-GB"/>
            </w:rPr>
            <w:t>for</w:t>
          </w:r>
          <w:r w:rsidR="008A0D12" w:rsidRPr="000D4A19">
            <w:rPr>
              <w:sz w:val="24"/>
              <w:szCs w:val="24"/>
              <w:lang w:val="en-GB"/>
            </w:rPr>
            <w:t xml:space="preserve"> police officers are being developed, which will also look further into training on police integrity. In light of the foregoing, </w:t>
          </w:r>
          <w:r w:rsidR="00C81282" w:rsidRPr="000D4A19">
            <w:rPr>
              <w:b/>
              <w:sz w:val="24"/>
              <w:szCs w:val="24"/>
              <w:lang w:val="en-GB"/>
            </w:rPr>
            <w:t xml:space="preserve">GRECO recommends </w:t>
          </w:r>
          <w:bookmarkStart w:id="163" w:name="_Hlk26535923"/>
          <w:bookmarkStart w:id="164" w:name="_Hlk22745745"/>
          <w:r w:rsidR="00C81282" w:rsidRPr="000D4A19">
            <w:rPr>
              <w:b/>
              <w:sz w:val="24"/>
              <w:szCs w:val="24"/>
              <w:lang w:val="en-GB"/>
            </w:rPr>
            <w:t>that</w:t>
          </w:r>
          <w:r w:rsidR="000D3A85" w:rsidRPr="000D4A19">
            <w:rPr>
              <w:b/>
              <w:sz w:val="24"/>
              <w:szCs w:val="24"/>
              <w:lang w:val="en-GB"/>
            </w:rPr>
            <w:t xml:space="preserve"> both the initial and in-service</w:t>
          </w:r>
          <w:r w:rsidR="00C81282" w:rsidRPr="000D4A19">
            <w:rPr>
              <w:b/>
              <w:sz w:val="24"/>
              <w:szCs w:val="24"/>
              <w:lang w:val="en-GB"/>
            </w:rPr>
            <w:t xml:space="preserve"> training of police officers on </w:t>
          </w:r>
          <w:r w:rsidR="00E05969" w:rsidRPr="000D4A19">
            <w:rPr>
              <w:b/>
              <w:sz w:val="24"/>
              <w:szCs w:val="24"/>
              <w:lang w:val="en-GB"/>
            </w:rPr>
            <w:t xml:space="preserve">ethics and </w:t>
          </w:r>
          <w:r w:rsidR="00C81282" w:rsidRPr="000D4A19">
            <w:rPr>
              <w:b/>
              <w:sz w:val="24"/>
              <w:szCs w:val="24"/>
              <w:lang w:val="en-GB"/>
            </w:rPr>
            <w:t>integrity matters be</w:t>
          </w:r>
          <w:r w:rsidR="00E05969" w:rsidRPr="000D4A19">
            <w:rPr>
              <w:b/>
              <w:sz w:val="24"/>
              <w:szCs w:val="24"/>
              <w:lang w:val="en-GB"/>
            </w:rPr>
            <w:t xml:space="preserve"> considerably</w:t>
          </w:r>
          <w:r w:rsidR="00C81282" w:rsidRPr="000D4A19">
            <w:rPr>
              <w:b/>
              <w:sz w:val="24"/>
              <w:szCs w:val="24"/>
              <w:lang w:val="en-GB"/>
            </w:rPr>
            <w:t xml:space="preserve"> enhanced, taking into consideration the specificity of their duties and vulnerabilities</w:t>
          </w:r>
          <w:r w:rsidR="00E05969" w:rsidRPr="000D4A19">
            <w:rPr>
              <w:b/>
              <w:sz w:val="24"/>
              <w:szCs w:val="24"/>
              <w:lang w:val="en-GB"/>
            </w:rPr>
            <w:t xml:space="preserve">, as provided in a future code of </w:t>
          </w:r>
          <w:r w:rsidR="00236441" w:rsidRPr="000D4A19">
            <w:rPr>
              <w:b/>
              <w:sz w:val="24"/>
              <w:szCs w:val="24"/>
              <w:lang w:val="en-GB"/>
            </w:rPr>
            <w:t xml:space="preserve">conduct or </w:t>
          </w:r>
          <w:r w:rsidR="00E05969" w:rsidRPr="000D4A19">
            <w:rPr>
              <w:b/>
              <w:sz w:val="24"/>
              <w:szCs w:val="24"/>
              <w:lang w:val="en-GB"/>
            </w:rPr>
            <w:t>ethics</w:t>
          </w:r>
          <w:bookmarkEnd w:id="163"/>
          <w:r w:rsidR="00E05969" w:rsidRPr="000D4A19">
            <w:rPr>
              <w:b/>
              <w:sz w:val="24"/>
              <w:szCs w:val="24"/>
              <w:lang w:val="en-GB"/>
            </w:rPr>
            <w:t>.</w:t>
          </w:r>
        </w:p>
        <w:bookmarkEnd w:id="164"/>
        <w:p w14:paraId="4BD5EF14" w14:textId="77777777" w:rsidR="00441857" w:rsidRPr="000D4A19" w:rsidRDefault="00441857" w:rsidP="004B7CAB">
          <w:pPr>
            <w:spacing w:after="0" w:line="240" w:lineRule="auto"/>
            <w:jc w:val="both"/>
            <w:rPr>
              <w:rFonts w:cstheme="minorHAnsi"/>
              <w:sz w:val="24"/>
              <w:szCs w:val="24"/>
              <w:lang w:val="en-GB"/>
            </w:rPr>
          </w:pPr>
        </w:p>
        <w:p w14:paraId="5B20C839" w14:textId="77777777" w:rsidR="009919AC" w:rsidRPr="000D4A19" w:rsidRDefault="009919AC" w:rsidP="004B7CAB">
          <w:pPr>
            <w:pStyle w:val="Naslov2"/>
            <w:keepNext w:val="0"/>
            <w:keepLines w:val="0"/>
            <w:tabs>
              <w:tab w:val="left" w:pos="709"/>
            </w:tabs>
            <w:spacing w:before="0" w:line="240" w:lineRule="auto"/>
            <w:jc w:val="both"/>
            <w:rPr>
              <w:rFonts w:asciiTheme="minorHAnsi" w:hAnsiTheme="minorHAnsi"/>
              <w:color w:val="auto"/>
              <w:sz w:val="24"/>
              <w:szCs w:val="24"/>
              <w:u w:val="single"/>
              <w:lang w:val="en-GB"/>
            </w:rPr>
          </w:pPr>
          <w:bookmarkStart w:id="165" w:name="_Toc4762883"/>
          <w:bookmarkStart w:id="166" w:name="_Toc25229329"/>
          <w:bookmarkStart w:id="167" w:name="_Toc342554302"/>
          <w:bookmarkStart w:id="168" w:name="_Toc342640977"/>
          <w:bookmarkStart w:id="169" w:name="_Toc484088345"/>
          <w:r w:rsidRPr="000D4A19">
            <w:rPr>
              <w:rFonts w:asciiTheme="minorHAnsi" w:hAnsiTheme="minorHAnsi"/>
              <w:color w:val="auto"/>
              <w:sz w:val="24"/>
              <w:szCs w:val="24"/>
              <w:u w:val="single"/>
              <w:lang w:val="en-GB"/>
            </w:rPr>
            <w:t>Recruitment, career and conditions of service</w:t>
          </w:r>
          <w:bookmarkEnd w:id="165"/>
          <w:bookmarkEnd w:id="166"/>
        </w:p>
        <w:bookmarkEnd w:id="167"/>
        <w:bookmarkEnd w:id="168"/>
        <w:bookmarkEnd w:id="169"/>
        <w:p w14:paraId="13AE29EC" w14:textId="77777777" w:rsidR="009919AC" w:rsidRPr="000D4A19" w:rsidRDefault="009919AC" w:rsidP="004B7CAB">
          <w:pPr>
            <w:spacing w:after="0" w:line="240" w:lineRule="auto"/>
            <w:jc w:val="both"/>
            <w:rPr>
              <w:rFonts w:cstheme="minorHAnsi"/>
              <w:sz w:val="24"/>
              <w:szCs w:val="24"/>
              <w:lang w:val="en-GB"/>
            </w:rPr>
          </w:pPr>
        </w:p>
        <w:p w14:paraId="1B8AF5D7" w14:textId="50F1F260"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170" w:name="_Toc4762884"/>
          <w:bookmarkStart w:id="171" w:name="_Toc25229330"/>
          <w:bookmarkStart w:id="172" w:name="_Toc342554304"/>
          <w:bookmarkStart w:id="173" w:name="_Toc342640979"/>
          <w:bookmarkStart w:id="174" w:name="_Toc484088346"/>
          <w:r w:rsidRPr="000D4A19">
            <w:rPr>
              <w:rFonts w:asciiTheme="minorHAnsi" w:hAnsiTheme="minorHAnsi"/>
              <w:b w:val="0"/>
              <w:i/>
              <w:color w:val="auto"/>
              <w:sz w:val="24"/>
              <w:szCs w:val="24"/>
              <w:lang w:val="en-GB"/>
            </w:rPr>
            <w:t>Appointment procedure</w:t>
          </w:r>
          <w:bookmarkEnd w:id="170"/>
          <w:bookmarkEnd w:id="171"/>
          <w:r w:rsidR="00305EB2" w:rsidRPr="000D4A19">
            <w:rPr>
              <w:rFonts w:asciiTheme="minorHAnsi" w:hAnsiTheme="minorHAnsi"/>
              <w:b w:val="0"/>
              <w:i/>
              <w:color w:val="auto"/>
              <w:sz w:val="24"/>
              <w:szCs w:val="24"/>
              <w:lang w:val="en-GB"/>
            </w:rPr>
            <w:t xml:space="preserve"> </w:t>
          </w:r>
        </w:p>
        <w:p w14:paraId="3D05E7F0" w14:textId="77777777" w:rsidR="009919AC" w:rsidRPr="000D4A19" w:rsidRDefault="009919AC" w:rsidP="004B7CAB">
          <w:pPr>
            <w:spacing w:after="0" w:line="240" w:lineRule="auto"/>
            <w:jc w:val="both"/>
            <w:rPr>
              <w:rFonts w:cstheme="minorHAnsi"/>
              <w:i/>
              <w:sz w:val="24"/>
              <w:szCs w:val="24"/>
              <w:lang w:val="en-GB"/>
            </w:rPr>
          </w:pPr>
          <w:bookmarkStart w:id="175" w:name="_Toc342554305"/>
          <w:bookmarkStart w:id="176" w:name="_Toc342640980"/>
          <w:bookmarkEnd w:id="172"/>
          <w:bookmarkEnd w:id="173"/>
          <w:bookmarkEnd w:id="174"/>
        </w:p>
        <w:p w14:paraId="269FA9D2" w14:textId="6EB8EB28"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u w:val="single"/>
              <w:lang w:val="en-GB"/>
            </w:rPr>
            <w:t>Recruitment requirements</w:t>
          </w:r>
          <w:r w:rsidRPr="000D4A19">
            <w:rPr>
              <w:rFonts w:cstheme="minorHAnsi"/>
              <w:sz w:val="24"/>
              <w:szCs w:val="24"/>
              <w:lang w:val="en-GB"/>
            </w:rPr>
            <w:t xml:space="preserve"> are outlined in Article 47 of the Police Act: </w:t>
          </w:r>
          <w:r w:rsidR="00F9332A" w:rsidRPr="000D4A19">
            <w:rPr>
              <w:rFonts w:cstheme="minorHAnsi"/>
              <w:sz w:val="24"/>
              <w:szCs w:val="24"/>
              <w:lang w:val="en-GB"/>
            </w:rPr>
            <w:t>p</w:t>
          </w:r>
          <w:r w:rsidRPr="000D4A19">
            <w:rPr>
              <w:rFonts w:cstheme="minorHAnsi"/>
              <w:sz w:val="24"/>
              <w:szCs w:val="24"/>
              <w:lang w:val="en-GB"/>
            </w:rPr>
            <w:t>ersons who have Croatian citizenship, have completed secondary education, are under 30 years of age at the time of their first employment (if this is employment to a post which requires secondary school qualifications), have good mental and physical abilities, meet the prescribed level of physical motor skills, are determined suitable to perform the police service</w:t>
          </w:r>
          <w:r w:rsidRPr="000D4A19">
            <w:rPr>
              <w:rStyle w:val="Referencafusnote"/>
              <w:rFonts w:cstheme="minorHAnsi"/>
              <w:sz w:val="24"/>
              <w:szCs w:val="24"/>
              <w:lang w:val="en-GB"/>
            </w:rPr>
            <w:footnoteReference w:id="59"/>
          </w:r>
          <w:r w:rsidRPr="000D4A19">
            <w:rPr>
              <w:rFonts w:cstheme="minorHAnsi"/>
              <w:sz w:val="24"/>
              <w:szCs w:val="24"/>
              <w:lang w:val="en-GB"/>
            </w:rPr>
            <w:t xml:space="preserve"> and are not members of a political party. </w:t>
          </w:r>
        </w:p>
        <w:p w14:paraId="5642A9A4" w14:textId="77777777" w:rsidR="009919AC" w:rsidRPr="000D4A19" w:rsidRDefault="009919AC" w:rsidP="004B7CAB">
          <w:pPr>
            <w:tabs>
              <w:tab w:val="left" w:pos="709"/>
              <w:tab w:val="num" w:pos="8222"/>
            </w:tabs>
            <w:spacing w:after="0" w:line="240" w:lineRule="auto"/>
            <w:jc w:val="both"/>
            <w:rPr>
              <w:rFonts w:cstheme="minorHAnsi"/>
              <w:sz w:val="24"/>
              <w:szCs w:val="24"/>
              <w:lang w:val="en-GB"/>
            </w:rPr>
          </w:pPr>
        </w:p>
        <w:p w14:paraId="5672D5F0" w14:textId="1E265F57"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Article 49 of the Police Act prescribes that the posts of police officers are filled by means of a public recruitment procedure. However, before a public recruitment procedure is opened, vacant posts can be filled through an internal vacancy announcement, transfer or another way stipulated by the same Police Act. </w:t>
          </w:r>
        </w:p>
        <w:p w14:paraId="0E863E78" w14:textId="77777777" w:rsidR="009919AC" w:rsidRPr="000D4A19" w:rsidRDefault="009919AC" w:rsidP="004B7CAB">
          <w:pPr>
            <w:tabs>
              <w:tab w:val="left" w:pos="709"/>
              <w:tab w:val="num" w:pos="8222"/>
            </w:tabs>
            <w:spacing w:after="0" w:line="240" w:lineRule="auto"/>
            <w:jc w:val="both"/>
            <w:rPr>
              <w:rFonts w:cstheme="minorHAnsi"/>
              <w:sz w:val="24"/>
              <w:szCs w:val="24"/>
              <w:lang w:val="en-GB"/>
            </w:rPr>
          </w:pPr>
        </w:p>
        <w:p w14:paraId="4F1732BF" w14:textId="01C3323F"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i/>
              <w:sz w:val="24"/>
              <w:szCs w:val="24"/>
              <w:lang w:val="en-GB"/>
            </w:rPr>
          </w:pPr>
          <w:r w:rsidRPr="000D4A19">
            <w:rPr>
              <w:rFonts w:cstheme="minorHAnsi"/>
              <w:sz w:val="24"/>
              <w:szCs w:val="24"/>
              <w:lang w:val="en-GB"/>
            </w:rPr>
            <w:t>The Police Act provides for three different categories of police officers, managerial police officers, senior police officers and junior police officers, in addition to the employees and civil servants working in the police force. Recruitment at entry level (junior police officers) takes place through competitive examinations</w:t>
          </w:r>
          <w:r w:rsidR="00361F83" w:rsidRPr="000D4A19">
            <w:rPr>
              <w:rFonts w:cstheme="minorHAnsi"/>
              <w:sz w:val="24"/>
              <w:szCs w:val="24"/>
              <w:lang w:val="en-GB"/>
            </w:rPr>
            <w:t xml:space="preserve">. </w:t>
          </w:r>
          <w:r w:rsidRPr="000D4A19">
            <w:rPr>
              <w:rFonts w:cstheme="minorHAnsi"/>
              <w:sz w:val="24"/>
              <w:szCs w:val="24"/>
              <w:lang w:val="en-GB"/>
            </w:rPr>
            <w:t>Pursuant to Article 52 of the Police Act, persons recruited to the police without any work experience are employed as trainees.</w:t>
          </w:r>
          <w:r w:rsidRPr="000D4A19">
            <w:rPr>
              <w:rStyle w:val="Referencafusnote"/>
              <w:rFonts w:cstheme="minorHAnsi"/>
              <w:sz w:val="24"/>
              <w:szCs w:val="24"/>
              <w:lang w:val="en-GB"/>
            </w:rPr>
            <w:footnoteReference w:id="60"/>
          </w:r>
          <w:r w:rsidRPr="000D4A19">
            <w:rPr>
              <w:rFonts w:cstheme="minorHAnsi"/>
              <w:i/>
              <w:sz w:val="24"/>
              <w:szCs w:val="24"/>
              <w:lang w:val="en-GB"/>
            </w:rPr>
            <w:t xml:space="preserve"> </w:t>
          </w:r>
        </w:p>
        <w:p w14:paraId="4802A938" w14:textId="77777777" w:rsidR="009919AC" w:rsidRPr="000D4A19" w:rsidRDefault="009919AC" w:rsidP="004B7CAB">
          <w:pPr>
            <w:tabs>
              <w:tab w:val="left" w:pos="709"/>
            </w:tabs>
            <w:spacing w:after="0" w:line="240" w:lineRule="auto"/>
            <w:jc w:val="both"/>
            <w:rPr>
              <w:rFonts w:cstheme="minorHAnsi"/>
              <w:i/>
              <w:sz w:val="24"/>
              <w:szCs w:val="24"/>
              <w:lang w:val="en-GB"/>
            </w:rPr>
          </w:pPr>
        </w:p>
        <w:p w14:paraId="55555B69" w14:textId="227C29CA" w:rsidR="00E538A7" w:rsidRPr="000D4A19" w:rsidRDefault="00256C4A" w:rsidP="004F03DD">
          <w:pPr>
            <w:numPr>
              <w:ilvl w:val="0"/>
              <w:numId w:val="1"/>
            </w:numPr>
            <w:tabs>
              <w:tab w:val="left" w:pos="709"/>
              <w:tab w:val="num" w:pos="1557"/>
              <w:tab w:val="num" w:pos="8222"/>
            </w:tabs>
            <w:spacing w:after="0" w:line="240" w:lineRule="auto"/>
            <w:ind w:left="0" w:firstLine="0"/>
            <w:jc w:val="both"/>
            <w:rPr>
              <w:rFonts w:cstheme="minorHAnsi"/>
              <w:i/>
              <w:sz w:val="24"/>
              <w:szCs w:val="24"/>
              <w:lang w:val="en-GB"/>
            </w:rPr>
          </w:pPr>
          <w:r w:rsidRPr="000D4A19">
            <w:rPr>
              <w:rFonts w:cstheme="minorHAnsi"/>
              <w:sz w:val="24"/>
              <w:szCs w:val="24"/>
              <w:lang w:val="en-GB"/>
            </w:rPr>
            <w:t xml:space="preserve">As regards the </w:t>
          </w:r>
          <w:r w:rsidR="00F339FB" w:rsidRPr="000D4A19">
            <w:rPr>
              <w:rFonts w:cstheme="minorHAnsi"/>
              <w:sz w:val="24"/>
              <w:szCs w:val="24"/>
              <w:u w:val="single"/>
              <w:lang w:val="en-GB"/>
            </w:rPr>
            <w:t>v</w:t>
          </w:r>
          <w:r w:rsidR="009919AC" w:rsidRPr="000D4A19">
            <w:rPr>
              <w:rFonts w:cstheme="minorHAnsi"/>
              <w:sz w:val="24"/>
              <w:szCs w:val="24"/>
              <w:u w:val="single"/>
              <w:lang w:val="en-GB"/>
            </w:rPr>
            <w:t>etting</w:t>
          </w:r>
          <w:r w:rsidR="00E05969" w:rsidRPr="000D4A19">
            <w:rPr>
              <w:rFonts w:cstheme="minorHAnsi"/>
              <w:sz w:val="24"/>
              <w:szCs w:val="24"/>
              <w:u w:val="single"/>
              <w:lang w:val="en-GB"/>
            </w:rPr>
            <w:t xml:space="preserve"> of</w:t>
          </w:r>
          <w:r w:rsidRPr="000D4A19">
            <w:rPr>
              <w:rFonts w:cstheme="minorHAnsi"/>
              <w:sz w:val="24"/>
              <w:szCs w:val="24"/>
              <w:u w:val="single"/>
              <w:lang w:val="en-GB"/>
            </w:rPr>
            <w:t xml:space="preserve"> police officers</w:t>
          </w:r>
          <w:r w:rsidR="00F339FB" w:rsidRPr="000D4A19">
            <w:rPr>
              <w:rFonts w:cstheme="minorHAnsi"/>
              <w:sz w:val="24"/>
              <w:szCs w:val="24"/>
              <w:lang w:val="en-GB"/>
            </w:rPr>
            <w:t xml:space="preserve">, </w:t>
          </w:r>
          <w:r w:rsidRPr="000D4A19">
            <w:rPr>
              <w:rFonts w:cstheme="minorHAnsi"/>
              <w:sz w:val="24"/>
              <w:szCs w:val="24"/>
              <w:lang w:val="en-GB"/>
            </w:rPr>
            <w:t xml:space="preserve">upon entering </w:t>
          </w:r>
          <w:r w:rsidR="00361F83" w:rsidRPr="000D4A19">
            <w:rPr>
              <w:rFonts w:cstheme="minorHAnsi"/>
              <w:sz w:val="24"/>
              <w:szCs w:val="24"/>
              <w:lang w:val="en-GB"/>
            </w:rPr>
            <w:t xml:space="preserve">the Police </w:t>
          </w:r>
          <w:r w:rsidR="000D3A85" w:rsidRPr="000D4A19">
            <w:rPr>
              <w:rFonts w:cstheme="minorHAnsi"/>
              <w:sz w:val="24"/>
              <w:szCs w:val="24"/>
              <w:lang w:val="en-GB"/>
            </w:rPr>
            <w:t xml:space="preserve">Academy </w:t>
          </w:r>
          <w:r w:rsidRPr="000D4A19">
            <w:rPr>
              <w:rFonts w:cstheme="minorHAnsi"/>
              <w:sz w:val="24"/>
              <w:szCs w:val="24"/>
              <w:lang w:val="en-GB"/>
            </w:rPr>
            <w:t>it is checked if a</w:t>
          </w:r>
          <w:r w:rsidR="00F339FB" w:rsidRPr="000D4A19">
            <w:rPr>
              <w:rFonts w:cstheme="minorHAnsi"/>
              <w:sz w:val="24"/>
              <w:szCs w:val="24"/>
              <w:lang w:val="en-GB"/>
            </w:rPr>
            <w:t xml:space="preserve">pplicants have a </w:t>
          </w:r>
          <w:r w:rsidR="004F03DD" w:rsidRPr="000D4A19">
            <w:rPr>
              <w:rFonts w:cstheme="minorHAnsi"/>
              <w:sz w:val="24"/>
              <w:szCs w:val="24"/>
              <w:lang w:val="en-GB"/>
            </w:rPr>
            <w:t xml:space="preserve">clean </w:t>
          </w:r>
          <w:r w:rsidR="00F339FB" w:rsidRPr="000D4A19">
            <w:rPr>
              <w:rFonts w:cstheme="minorHAnsi"/>
              <w:sz w:val="24"/>
              <w:szCs w:val="24"/>
              <w:lang w:val="en-GB"/>
            </w:rPr>
            <w:t>criminal record (</w:t>
          </w:r>
          <w:r w:rsidR="000356FF" w:rsidRPr="000D4A19">
            <w:rPr>
              <w:rFonts w:cstheme="minorHAnsi"/>
              <w:sz w:val="24"/>
              <w:szCs w:val="24"/>
              <w:lang w:val="en-GB"/>
            </w:rPr>
            <w:t xml:space="preserve">not just for crimes but also </w:t>
          </w:r>
          <w:r w:rsidR="00F339FB" w:rsidRPr="000D4A19">
            <w:rPr>
              <w:rFonts w:cstheme="minorHAnsi"/>
              <w:sz w:val="24"/>
              <w:szCs w:val="24"/>
              <w:lang w:val="en-GB"/>
            </w:rPr>
            <w:t>certain misdemeanours involving</w:t>
          </w:r>
          <w:r w:rsidR="006E4AEE" w:rsidRPr="000D4A19">
            <w:rPr>
              <w:rFonts w:cstheme="minorHAnsi"/>
              <w:sz w:val="24"/>
              <w:szCs w:val="24"/>
              <w:lang w:val="en-GB"/>
            </w:rPr>
            <w:t>,</w:t>
          </w:r>
          <w:r w:rsidR="00F339FB" w:rsidRPr="000D4A19">
            <w:rPr>
              <w:rFonts w:cstheme="minorHAnsi"/>
              <w:sz w:val="24"/>
              <w:szCs w:val="24"/>
              <w:lang w:val="en-GB"/>
            </w:rPr>
            <w:t xml:space="preserve"> for example</w:t>
          </w:r>
          <w:r w:rsidR="006E4AEE" w:rsidRPr="000D4A19">
            <w:rPr>
              <w:rFonts w:cstheme="minorHAnsi"/>
              <w:sz w:val="24"/>
              <w:szCs w:val="24"/>
              <w:lang w:val="en-GB"/>
            </w:rPr>
            <w:t>,</w:t>
          </w:r>
          <w:r w:rsidR="00F339FB" w:rsidRPr="000D4A19">
            <w:rPr>
              <w:rFonts w:cstheme="minorHAnsi"/>
              <w:sz w:val="24"/>
              <w:szCs w:val="24"/>
              <w:lang w:val="en-GB"/>
            </w:rPr>
            <w:t xml:space="preserve"> violence)</w:t>
          </w:r>
          <w:r w:rsidR="009919AC" w:rsidRPr="000D4A19">
            <w:rPr>
              <w:rFonts w:cstheme="minorHAnsi"/>
              <w:sz w:val="24"/>
              <w:szCs w:val="24"/>
              <w:lang w:val="en-GB"/>
            </w:rPr>
            <w:t xml:space="preserve"> in</w:t>
          </w:r>
          <w:r w:rsidR="00F339FB" w:rsidRPr="000D4A19">
            <w:rPr>
              <w:rFonts w:cstheme="minorHAnsi"/>
              <w:sz w:val="24"/>
              <w:szCs w:val="24"/>
              <w:lang w:val="en-GB"/>
            </w:rPr>
            <w:t xml:space="preserve"> accordance </w:t>
          </w:r>
          <w:r w:rsidR="009919AC" w:rsidRPr="000D4A19">
            <w:rPr>
              <w:rFonts w:cstheme="minorHAnsi"/>
              <w:sz w:val="24"/>
              <w:szCs w:val="24"/>
              <w:lang w:val="en-GB"/>
            </w:rPr>
            <w:t>with the Order on the determination of suitability of persons who are to work in the police forc</w:t>
          </w:r>
          <w:r w:rsidR="00F339FB" w:rsidRPr="000D4A19">
            <w:rPr>
              <w:rFonts w:cstheme="minorHAnsi"/>
              <w:sz w:val="24"/>
              <w:szCs w:val="24"/>
              <w:lang w:val="en-GB"/>
            </w:rPr>
            <w:t>e (Official</w:t>
          </w:r>
          <w:r w:rsidR="004F03DD" w:rsidRPr="000D4A19">
            <w:rPr>
              <w:rFonts w:cstheme="minorHAnsi"/>
              <w:sz w:val="24"/>
              <w:szCs w:val="24"/>
              <w:lang w:val="en-GB"/>
            </w:rPr>
            <w:t xml:space="preserve"> Gazette No. 98/12), and </w:t>
          </w:r>
          <w:r w:rsidR="00E05969" w:rsidRPr="000D4A19">
            <w:rPr>
              <w:rFonts w:cstheme="minorHAnsi"/>
              <w:sz w:val="24"/>
              <w:szCs w:val="24"/>
              <w:lang w:val="en-GB"/>
            </w:rPr>
            <w:t xml:space="preserve">to be </w:t>
          </w:r>
          <w:r w:rsidR="004F03DD" w:rsidRPr="000D4A19">
            <w:rPr>
              <w:rFonts w:cstheme="minorHAnsi"/>
              <w:sz w:val="24"/>
              <w:szCs w:val="24"/>
              <w:lang w:val="en-GB"/>
            </w:rPr>
            <w:t xml:space="preserve">physically and mentally fit. </w:t>
          </w:r>
          <w:r w:rsidR="00E46850">
            <w:rPr>
              <w:rFonts w:cstheme="minorHAnsi"/>
              <w:sz w:val="24"/>
              <w:szCs w:val="24"/>
              <w:lang w:val="en-GB"/>
            </w:rPr>
            <w:t xml:space="preserve">In addition, the background of the applicant, people associated with him/her, his/her work references and other information held in police registers will </w:t>
          </w:r>
          <w:r w:rsidR="00AA6D96">
            <w:rPr>
              <w:rFonts w:cstheme="minorHAnsi"/>
              <w:sz w:val="24"/>
              <w:szCs w:val="24"/>
              <w:lang w:val="en-GB"/>
            </w:rPr>
            <w:t>be checked</w:t>
          </w:r>
          <w:r w:rsidR="00E46850">
            <w:rPr>
              <w:rFonts w:cstheme="minorHAnsi"/>
              <w:sz w:val="24"/>
              <w:szCs w:val="24"/>
              <w:lang w:val="en-GB"/>
            </w:rPr>
            <w:t>. Usually, this type</w:t>
          </w:r>
          <w:r w:rsidR="00AA6D96">
            <w:rPr>
              <w:rFonts w:cstheme="minorHAnsi"/>
              <w:sz w:val="24"/>
              <w:szCs w:val="24"/>
              <w:lang w:val="en-GB"/>
            </w:rPr>
            <w:t xml:space="preserve"> of vetting does not include a f</w:t>
          </w:r>
          <w:r w:rsidR="004F03DD" w:rsidRPr="000D4A19">
            <w:rPr>
              <w:rFonts w:cstheme="minorHAnsi"/>
              <w:sz w:val="24"/>
              <w:szCs w:val="24"/>
              <w:lang w:val="en-GB"/>
            </w:rPr>
            <w:t>inancial check</w:t>
          </w:r>
          <w:r w:rsidR="00AA6D96">
            <w:rPr>
              <w:rFonts w:cstheme="minorHAnsi"/>
              <w:sz w:val="24"/>
              <w:szCs w:val="24"/>
              <w:lang w:val="en-GB"/>
            </w:rPr>
            <w:t>, but if there are indications of financial problems further information can be sought</w:t>
          </w:r>
          <w:r w:rsidR="004F03DD" w:rsidRPr="000D4A19">
            <w:rPr>
              <w:rFonts w:cstheme="minorHAnsi"/>
              <w:sz w:val="24"/>
              <w:szCs w:val="24"/>
              <w:lang w:val="en-GB"/>
            </w:rPr>
            <w:t xml:space="preserve">. </w:t>
          </w:r>
        </w:p>
        <w:p w14:paraId="23D8A921" w14:textId="77777777" w:rsidR="004F03DD" w:rsidRPr="000D4A19" w:rsidRDefault="004F03DD" w:rsidP="004F03DD">
          <w:pPr>
            <w:tabs>
              <w:tab w:val="left" w:pos="709"/>
              <w:tab w:val="num" w:pos="8222"/>
            </w:tabs>
            <w:spacing w:after="0" w:line="240" w:lineRule="auto"/>
            <w:jc w:val="both"/>
            <w:rPr>
              <w:rFonts w:cstheme="minorHAnsi"/>
              <w:i/>
              <w:sz w:val="24"/>
              <w:szCs w:val="24"/>
              <w:lang w:val="en-GB"/>
            </w:rPr>
          </w:pPr>
        </w:p>
        <w:p w14:paraId="1666CBF5" w14:textId="1499C6CD" w:rsidR="009919AC" w:rsidRPr="000D4A19" w:rsidRDefault="009919AC" w:rsidP="00E22398">
          <w:pPr>
            <w:numPr>
              <w:ilvl w:val="0"/>
              <w:numId w:val="1"/>
            </w:numPr>
            <w:tabs>
              <w:tab w:val="left" w:pos="709"/>
              <w:tab w:val="num" w:pos="1557"/>
              <w:tab w:val="num" w:pos="8222"/>
            </w:tabs>
            <w:spacing w:after="0" w:line="240" w:lineRule="auto"/>
            <w:ind w:left="0" w:firstLine="0"/>
            <w:jc w:val="both"/>
            <w:rPr>
              <w:rFonts w:cstheme="minorHAnsi"/>
              <w:i/>
              <w:sz w:val="24"/>
              <w:szCs w:val="24"/>
              <w:lang w:val="en-GB"/>
            </w:rPr>
          </w:pPr>
          <w:r w:rsidRPr="000D4A19">
            <w:rPr>
              <w:rFonts w:cstheme="minorHAnsi"/>
              <w:sz w:val="24"/>
              <w:szCs w:val="24"/>
              <w:lang w:val="en-GB"/>
            </w:rPr>
            <w:t xml:space="preserve">Police officers and other civil servants (or employees) who have access to classified data are subject to a </w:t>
          </w:r>
          <w:r w:rsidRPr="000D4A19">
            <w:rPr>
              <w:rFonts w:cstheme="minorHAnsi"/>
              <w:sz w:val="24"/>
              <w:szCs w:val="24"/>
              <w:u w:val="single"/>
              <w:lang w:val="en-GB"/>
            </w:rPr>
            <w:t>specific security clearance procedure</w:t>
          </w:r>
          <w:r w:rsidRPr="000D4A19">
            <w:rPr>
              <w:rFonts w:cstheme="minorHAnsi"/>
              <w:sz w:val="24"/>
              <w:szCs w:val="24"/>
              <w:lang w:val="en-GB"/>
            </w:rPr>
            <w:t xml:space="preserve">. To this end, </w:t>
          </w:r>
          <w:r w:rsidR="006E4AEE" w:rsidRPr="000D4A19">
            <w:rPr>
              <w:rFonts w:cstheme="minorHAnsi"/>
              <w:sz w:val="24"/>
              <w:szCs w:val="24"/>
              <w:lang w:val="en-GB"/>
            </w:rPr>
            <w:t xml:space="preserve">the </w:t>
          </w:r>
          <w:r w:rsidRPr="000D4A19">
            <w:rPr>
              <w:rFonts w:cstheme="minorHAnsi"/>
              <w:sz w:val="24"/>
              <w:szCs w:val="24"/>
              <w:lang w:val="en-GB"/>
            </w:rPr>
            <w:t>Ministry of the Interior is to submit an application to the Office of the National Security Council</w:t>
          </w:r>
          <w:r w:rsidR="00DF31C3" w:rsidRPr="000D4A19">
            <w:rPr>
              <w:rFonts w:cstheme="minorHAnsi"/>
              <w:sz w:val="24"/>
              <w:szCs w:val="24"/>
              <w:lang w:val="en-GB"/>
            </w:rPr>
            <w:t xml:space="preserve"> (UNVS)</w:t>
          </w:r>
          <w:r w:rsidRPr="000D4A19">
            <w:rPr>
              <w:rFonts w:cstheme="minorHAnsi"/>
              <w:sz w:val="24"/>
              <w:szCs w:val="24"/>
              <w:lang w:val="en-GB"/>
            </w:rPr>
            <w:t>, which include</w:t>
          </w:r>
          <w:r w:rsidR="006E4AEE" w:rsidRPr="000D4A19">
            <w:rPr>
              <w:rFonts w:cstheme="minorHAnsi"/>
              <w:sz w:val="24"/>
              <w:szCs w:val="24"/>
              <w:lang w:val="en-GB"/>
            </w:rPr>
            <w:t>s</w:t>
          </w:r>
          <w:r w:rsidRPr="000D4A19">
            <w:rPr>
              <w:rFonts w:cstheme="minorHAnsi"/>
              <w:sz w:val="24"/>
              <w:szCs w:val="24"/>
              <w:lang w:val="en-GB"/>
            </w:rPr>
            <w:t xml:space="preserve"> a completed security clearance questionnaire corresponding to the level of classified data s/he is to access at his/her workplace (i.e. “confidential”, “secret“ or “top secret”).</w:t>
          </w:r>
          <w:r w:rsidRPr="000D4A19">
            <w:rPr>
              <w:rFonts w:cstheme="minorHAnsi"/>
              <w:i/>
              <w:sz w:val="24"/>
              <w:szCs w:val="24"/>
              <w:lang w:val="en-GB"/>
            </w:rPr>
            <w:t xml:space="preserve"> </w:t>
          </w:r>
          <w:r w:rsidR="00F339FB" w:rsidRPr="000D4A19">
            <w:rPr>
              <w:rFonts w:cstheme="minorHAnsi"/>
              <w:sz w:val="24"/>
              <w:szCs w:val="24"/>
              <w:lang w:val="en-GB"/>
            </w:rPr>
            <w:t>Th</w:t>
          </w:r>
          <w:r w:rsidR="004F03DD" w:rsidRPr="000D4A19">
            <w:rPr>
              <w:rFonts w:cstheme="minorHAnsi"/>
              <w:sz w:val="24"/>
              <w:szCs w:val="24"/>
              <w:lang w:val="en-GB"/>
            </w:rPr>
            <w:t>is questionnaire</w:t>
          </w:r>
          <w:r w:rsidR="00F339FB" w:rsidRPr="000D4A19">
            <w:rPr>
              <w:rFonts w:cstheme="minorHAnsi"/>
              <w:sz w:val="24"/>
              <w:szCs w:val="24"/>
              <w:lang w:val="en-GB"/>
            </w:rPr>
            <w:t xml:space="preserve"> requests information identifying partners, parents, siblings, children, includes questions on military service, mental health, criminal proceedings (etc.) and requires applicants to give consent to the competent agencies to check their personal bank accounts and any financial transactions above 100</w:t>
          </w:r>
          <w:r w:rsidR="006E4AEE" w:rsidRPr="000D4A19">
            <w:rPr>
              <w:rFonts w:cstheme="minorHAnsi"/>
              <w:sz w:val="24"/>
              <w:szCs w:val="24"/>
              <w:lang w:val="en-GB"/>
            </w:rPr>
            <w:t xml:space="preserve"> </w:t>
          </w:r>
          <w:r w:rsidR="00F339FB" w:rsidRPr="000D4A19">
            <w:rPr>
              <w:rFonts w:cstheme="minorHAnsi"/>
              <w:sz w:val="24"/>
              <w:szCs w:val="24"/>
              <w:lang w:val="en-GB"/>
            </w:rPr>
            <w:t>000 HRK (approximately 13</w:t>
          </w:r>
          <w:r w:rsidR="006E4AEE" w:rsidRPr="000D4A19">
            <w:rPr>
              <w:rFonts w:cstheme="minorHAnsi"/>
              <w:sz w:val="24"/>
              <w:szCs w:val="24"/>
              <w:lang w:val="en-GB"/>
            </w:rPr>
            <w:t xml:space="preserve"> </w:t>
          </w:r>
          <w:r w:rsidR="00F339FB" w:rsidRPr="000D4A19">
            <w:rPr>
              <w:rFonts w:cstheme="minorHAnsi"/>
              <w:sz w:val="24"/>
              <w:szCs w:val="24"/>
              <w:lang w:val="en-GB"/>
            </w:rPr>
            <w:t xml:space="preserve">475 EUR) in the last two years. </w:t>
          </w:r>
          <w:r w:rsidRPr="000D4A19">
            <w:rPr>
              <w:rFonts w:cstheme="minorHAnsi"/>
              <w:sz w:val="24"/>
              <w:szCs w:val="24"/>
              <w:lang w:val="en-GB"/>
            </w:rPr>
            <w:t xml:space="preserve">Following this security check, a report is provided to the Independent </w:t>
          </w:r>
          <w:r w:rsidR="00DF31C3" w:rsidRPr="000D4A19">
            <w:rPr>
              <w:rFonts w:cstheme="minorHAnsi"/>
              <w:sz w:val="24"/>
              <w:szCs w:val="24"/>
              <w:lang w:val="en-GB"/>
            </w:rPr>
            <w:t xml:space="preserve">Service </w:t>
          </w:r>
          <w:r w:rsidRPr="000D4A19">
            <w:rPr>
              <w:rFonts w:cstheme="minorHAnsi"/>
              <w:sz w:val="24"/>
              <w:szCs w:val="24"/>
              <w:lang w:val="en-GB"/>
            </w:rPr>
            <w:t xml:space="preserve">for Information Security </w:t>
          </w:r>
          <w:r w:rsidR="00DF31C3" w:rsidRPr="000D4A19">
            <w:rPr>
              <w:rFonts w:cstheme="minorHAnsi"/>
              <w:sz w:val="24"/>
              <w:szCs w:val="24"/>
              <w:lang w:val="en-GB"/>
            </w:rPr>
            <w:t xml:space="preserve">(SSIS) </w:t>
          </w:r>
          <w:r w:rsidRPr="000D4A19">
            <w:rPr>
              <w:rFonts w:cstheme="minorHAnsi"/>
              <w:sz w:val="24"/>
              <w:szCs w:val="24"/>
              <w:lang w:val="en-GB"/>
            </w:rPr>
            <w:t>of the Ministry of the Interior.</w:t>
          </w:r>
          <w:r w:rsidR="00DF31C3" w:rsidRPr="000D4A19">
            <w:rPr>
              <w:rFonts w:cstheme="minorHAnsi"/>
              <w:sz w:val="24"/>
              <w:szCs w:val="24"/>
              <w:lang w:val="en-GB"/>
            </w:rPr>
            <w:t xml:space="preserve"> On the basis of the report by the UNVS, the SSIS either issues or declines to issue a personal security clearance for the police officer concerned </w:t>
          </w:r>
          <w:r w:rsidR="00F16533" w:rsidRPr="000D4A19">
            <w:rPr>
              <w:rFonts w:cstheme="minorHAnsi"/>
              <w:sz w:val="24"/>
              <w:szCs w:val="24"/>
              <w:lang w:val="en-GB"/>
            </w:rPr>
            <w:t>and informs the head of the organisational unit who requested the clearance accordingly</w:t>
          </w:r>
          <w:r w:rsidR="00DF31C3" w:rsidRPr="000D4A19">
            <w:rPr>
              <w:rFonts w:cstheme="minorHAnsi"/>
              <w:sz w:val="24"/>
              <w:szCs w:val="24"/>
              <w:lang w:val="en-GB"/>
            </w:rPr>
            <w:t>.</w:t>
          </w:r>
          <w:r w:rsidRPr="000D4A19">
            <w:rPr>
              <w:rFonts w:cstheme="minorHAnsi"/>
              <w:sz w:val="24"/>
              <w:szCs w:val="24"/>
              <w:lang w:val="en-GB"/>
            </w:rPr>
            <w:t xml:space="preserve"> </w:t>
          </w:r>
          <w:r w:rsidR="004F03DD" w:rsidRPr="000D4A19">
            <w:rPr>
              <w:rFonts w:cstheme="minorHAnsi"/>
              <w:sz w:val="24"/>
              <w:szCs w:val="24"/>
              <w:lang w:val="en-GB"/>
            </w:rPr>
            <w:t>Security clearances have to be renewed every five years. The GET was</w:t>
          </w:r>
          <w:r w:rsidR="006E4AEE" w:rsidRPr="000D4A19">
            <w:rPr>
              <w:rFonts w:cstheme="minorHAnsi"/>
              <w:sz w:val="24"/>
              <w:szCs w:val="24"/>
              <w:lang w:val="en-GB"/>
            </w:rPr>
            <w:t>,</w:t>
          </w:r>
          <w:r w:rsidR="004F03DD" w:rsidRPr="000D4A19">
            <w:rPr>
              <w:rFonts w:cstheme="minorHAnsi"/>
              <w:sz w:val="24"/>
              <w:szCs w:val="24"/>
              <w:lang w:val="en-GB"/>
            </w:rPr>
            <w:t xml:space="preserve"> however</w:t>
          </w:r>
          <w:r w:rsidR="006E4AEE" w:rsidRPr="000D4A19">
            <w:rPr>
              <w:rFonts w:cstheme="minorHAnsi"/>
              <w:sz w:val="24"/>
              <w:szCs w:val="24"/>
              <w:lang w:val="en-GB"/>
            </w:rPr>
            <w:t>,</w:t>
          </w:r>
          <w:r w:rsidR="004F03DD" w:rsidRPr="000D4A19">
            <w:rPr>
              <w:rFonts w:cstheme="minorHAnsi"/>
              <w:sz w:val="24"/>
              <w:szCs w:val="24"/>
              <w:lang w:val="en-GB"/>
            </w:rPr>
            <w:t xml:space="preserve"> told that if there were indications of a problem, </w:t>
          </w:r>
          <w:r w:rsidR="00DC6E63" w:rsidRPr="000D4A19">
            <w:rPr>
              <w:rFonts w:cstheme="minorHAnsi"/>
              <w:sz w:val="24"/>
              <w:szCs w:val="24"/>
              <w:lang w:val="en-GB"/>
            </w:rPr>
            <w:t>a random check could be carried out before five years had passed</w:t>
          </w:r>
          <w:r w:rsidR="00E22398" w:rsidRPr="000D4A19">
            <w:rPr>
              <w:rFonts w:cstheme="minorHAnsi"/>
              <w:sz w:val="24"/>
              <w:szCs w:val="24"/>
              <w:lang w:val="en-GB"/>
            </w:rPr>
            <w:t xml:space="preserve">, unbeknownst to the police officer in question. </w:t>
          </w:r>
        </w:p>
        <w:p w14:paraId="27678837" w14:textId="77777777" w:rsidR="000356FF" w:rsidRPr="000D4A19" w:rsidRDefault="000356FF" w:rsidP="00645C71">
          <w:pPr>
            <w:tabs>
              <w:tab w:val="left" w:pos="709"/>
              <w:tab w:val="num" w:pos="8222"/>
            </w:tabs>
            <w:spacing w:after="0" w:line="240" w:lineRule="auto"/>
            <w:jc w:val="both"/>
            <w:rPr>
              <w:rFonts w:cstheme="minorHAnsi"/>
              <w:i/>
              <w:sz w:val="24"/>
              <w:szCs w:val="24"/>
              <w:lang w:val="en-GB"/>
            </w:rPr>
          </w:pPr>
        </w:p>
        <w:p w14:paraId="430C9237"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177" w:name="_Toc4762885"/>
          <w:bookmarkStart w:id="178" w:name="_Toc25229331"/>
          <w:r w:rsidRPr="000D4A19">
            <w:rPr>
              <w:rFonts w:asciiTheme="minorHAnsi" w:hAnsiTheme="minorHAnsi"/>
              <w:b w:val="0"/>
              <w:i/>
              <w:color w:val="auto"/>
              <w:sz w:val="24"/>
              <w:szCs w:val="24"/>
              <w:lang w:val="en-GB"/>
            </w:rPr>
            <w:t>Performance evaluation and promotion to a higher rank, transfers</w:t>
          </w:r>
          <w:bookmarkEnd w:id="177"/>
          <w:bookmarkEnd w:id="178"/>
          <w:r w:rsidRPr="000D4A19">
            <w:rPr>
              <w:rFonts w:asciiTheme="minorHAnsi" w:hAnsiTheme="minorHAnsi"/>
              <w:b w:val="0"/>
              <w:i/>
              <w:color w:val="auto"/>
              <w:sz w:val="24"/>
              <w:szCs w:val="24"/>
              <w:lang w:val="en-GB"/>
            </w:rPr>
            <w:t xml:space="preserve"> </w:t>
          </w:r>
        </w:p>
        <w:p w14:paraId="54522544" w14:textId="77777777" w:rsidR="009919AC" w:rsidRPr="000D4A19" w:rsidRDefault="009919AC" w:rsidP="004B7CAB">
          <w:pPr>
            <w:spacing w:after="0" w:line="240" w:lineRule="auto"/>
            <w:jc w:val="both"/>
            <w:rPr>
              <w:rFonts w:cstheme="minorHAnsi"/>
              <w:i/>
              <w:sz w:val="24"/>
              <w:szCs w:val="24"/>
              <w:lang w:val="en-GB"/>
            </w:rPr>
          </w:pPr>
        </w:p>
        <w:p w14:paraId="6E6C8C79" w14:textId="20339778"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Evaluation of the performance of police officers is carried out by the head of the organisational unit of the police officer in question</w:t>
          </w:r>
          <w:r w:rsidR="009D6995" w:rsidRPr="000D4A19">
            <w:rPr>
              <w:rFonts w:cstheme="minorHAnsi"/>
              <w:sz w:val="24"/>
              <w:szCs w:val="24"/>
              <w:lang w:val="en-GB"/>
            </w:rPr>
            <w:t>. S/he</w:t>
          </w:r>
          <w:r w:rsidRPr="000D4A19">
            <w:rPr>
              <w:rFonts w:cstheme="minorHAnsi"/>
              <w:sz w:val="24"/>
              <w:szCs w:val="24"/>
              <w:lang w:val="en-GB"/>
            </w:rPr>
            <w:t xml:space="preserve"> is to evaluate the work of </w:t>
          </w:r>
          <w:r w:rsidR="00F84D8D" w:rsidRPr="000D4A19">
            <w:rPr>
              <w:rFonts w:cstheme="minorHAnsi"/>
              <w:sz w:val="24"/>
              <w:szCs w:val="24"/>
              <w:lang w:val="en-GB"/>
            </w:rPr>
            <w:t xml:space="preserve">his/her subordinate </w:t>
          </w:r>
          <w:r w:rsidRPr="000D4A19">
            <w:rPr>
              <w:rFonts w:cstheme="minorHAnsi"/>
              <w:sz w:val="24"/>
              <w:szCs w:val="24"/>
              <w:lang w:val="en-GB"/>
            </w:rPr>
            <w:t>police officers three times a year (tak</w:t>
          </w:r>
          <w:r w:rsidR="009D6995" w:rsidRPr="000D4A19">
            <w:rPr>
              <w:rFonts w:cstheme="minorHAnsi"/>
              <w:sz w:val="24"/>
              <w:szCs w:val="24"/>
              <w:lang w:val="en-GB"/>
            </w:rPr>
            <w:t>ing</w:t>
          </w:r>
          <w:r w:rsidRPr="000D4A19">
            <w:rPr>
              <w:rFonts w:cstheme="minorHAnsi"/>
              <w:sz w:val="24"/>
              <w:szCs w:val="24"/>
              <w:lang w:val="en-GB"/>
            </w:rPr>
            <w:t xml:space="preserve"> into account the Code of Ethics for Police</w:t>
          </w:r>
          <w:r w:rsidR="001114FB" w:rsidRPr="000D4A19">
            <w:rPr>
              <w:rFonts w:cstheme="minorHAnsi"/>
              <w:sz w:val="24"/>
              <w:szCs w:val="24"/>
              <w:lang w:val="en-GB"/>
            </w:rPr>
            <w:t xml:space="preserve"> Officers), which results in an “</w:t>
          </w:r>
          <w:r w:rsidRPr="000D4A19">
            <w:rPr>
              <w:rFonts w:cstheme="minorHAnsi"/>
              <w:sz w:val="24"/>
              <w:szCs w:val="24"/>
              <w:lang w:val="en-GB"/>
            </w:rPr>
            <w:t>annual</w:t>
          </w:r>
          <w:r w:rsidR="001114FB" w:rsidRPr="000D4A19">
            <w:rPr>
              <w:rFonts w:cstheme="minorHAnsi"/>
              <w:sz w:val="24"/>
              <w:szCs w:val="24"/>
              <w:lang w:val="en-GB"/>
            </w:rPr>
            <w:t xml:space="preserve"> rating” (in the categories not satisfactory, satisfactory, good, successful and e</w:t>
          </w:r>
          <w:r w:rsidR="00B35889" w:rsidRPr="000D4A19">
            <w:rPr>
              <w:rFonts w:cstheme="minorHAnsi"/>
              <w:sz w:val="24"/>
              <w:szCs w:val="24"/>
              <w:lang w:val="en-GB"/>
            </w:rPr>
            <w:t>xtremely successful)</w:t>
          </w:r>
          <w:r w:rsidR="009D6995" w:rsidRPr="000D4A19">
            <w:rPr>
              <w:rFonts w:cstheme="minorHAnsi"/>
              <w:sz w:val="24"/>
              <w:szCs w:val="24"/>
              <w:lang w:val="en-GB"/>
            </w:rPr>
            <w:t>. T</w:t>
          </w:r>
          <w:r w:rsidR="00B35889" w:rsidRPr="000D4A19">
            <w:rPr>
              <w:rFonts w:cstheme="minorHAnsi"/>
              <w:sz w:val="24"/>
              <w:szCs w:val="24"/>
              <w:lang w:val="en-GB"/>
            </w:rPr>
            <w:t>he O</w:t>
          </w:r>
          <w:r w:rsidR="001114FB" w:rsidRPr="000D4A19">
            <w:rPr>
              <w:rFonts w:cstheme="minorHAnsi"/>
              <w:sz w:val="24"/>
              <w:szCs w:val="24"/>
              <w:lang w:val="en-GB"/>
            </w:rPr>
            <w:t xml:space="preserve">rdinance </w:t>
          </w:r>
          <w:r w:rsidR="00E56295" w:rsidRPr="000D4A19">
            <w:rPr>
              <w:rFonts w:cstheme="minorHAnsi"/>
              <w:sz w:val="24"/>
              <w:szCs w:val="24"/>
              <w:lang w:val="en-GB"/>
            </w:rPr>
            <w:t>“O</w:t>
          </w:r>
          <w:r w:rsidR="00B35889" w:rsidRPr="000D4A19">
            <w:rPr>
              <w:rFonts w:cstheme="minorHAnsi"/>
              <w:sz w:val="24"/>
              <w:szCs w:val="24"/>
              <w:lang w:val="en-GB"/>
            </w:rPr>
            <w:t xml:space="preserve">n </w:t>
          </w:r>
          <w:r w:rsidR="00E56295" w:rsidRPr="000D4A19">
            <w:rPr>
              <w:rFonts w:cstheme="minorHAnsi"/>
              <w:sz w:val="24"/>
              <w:szCs w:val="24"/>
              <w:lang w:val="en-GB"/>
            </w:rPr>
            <w:t xml:space="preserve">the </w:t>
          </w:r>
          <w:r w:rsidR="00B35889" w:rsidRPr="000D4A19">
            <w:rPr>
              <w:rFonts w:cstheme="minorHAnsi"/>
              <w:sz w:val="24"/>
              <w:szCs w:val="24"/>
              <w:lang w:val="en-GB"/>
            </w:rPr>
            <w:t>evaluation of police officers</w:t>
          </w:r>
          <w:r w:rsidR="00E56295" w:rsidRPr="000D4A19">
            <w:rPr>
              <w:rFonts w:cstheme="minorHAnsi"/>
              <w:sz w:val="24"/>
              <w:szCs w:val="24"/>
              <w:lang w:val="en-GB"/>
            </w:rPr>
            <w:t>”</w:t>
          </w:r>
          <w:r w:rsidR="00B35889" w:rsidRPr="000D4A19">
            <w:rPr>
              <w:rFonts w:cstheme="minorHAnsi"/>
              <w:sz w:val="24"/>
              <w:szCs w:val="24"/>
              <w:lang w:val="en-GB"/>
            </w:rPr>
            <w:t xml:space="preserve"> outlin</w:t>
          </w:r>
          <w:r w:rsidR="00E56295" w:rsidRPr="000D4A19">
            <w:rPr>
              <w:rFonts w:cstheme="minorHAnsi"/>
              <w:sz w:val="24"/>
              <w:szCs w:val="24"/>
              <w:lang w:val="en-GB"/>
            </w:rPr>
            <w:t>es</w:t>
          </w:r>
          <w:r w:rsidR="00B35889" w:rsidRPr="000D4A19">
            <w:rPr>
              <w:rFonts w:cstheme="minorHAnsi"/>
              <w:sz w:val="24"/>
              <w:szCs w:val="24"/>
              <w:lang w:val="en-GB"/>
            </w:rPr>
            <w:t xml:space="preserve"> the procedure of assessment and criteria for each of the</w:t>
          </w:r>
          <w:r w:rsidR="009D6995" w:rsidRPr="000D4A19">
            <w:rPr>
              <w:rFonts w:cstheme="minorHAnsi"/>
              <w:sz w:val="24"/>
              <w:szCs w:val="24"/>
              <w:lang w:val="en-GB"/>
            </w:rPr>
            <w:t>se</w:t>
          </w:r>
          <w:r w:rsidR="00B35889" w:rsidRPr="000D4A19">
            <w:rPr>
              <w:rFonts w:cstheme="minorHAnsi"/>
              <w:sz w:val="24"/>
              <w:szCs w:val="24"/>
              <w:lang w:val="en-GB"/>
            </w:rPr>
            <w:t xml:space="preserve"> ratings</w:t>
          </w:r>
          <w:r w:rsidRPr="000D4A19">
            <w:rPr>
              <w:rFonts w:cstheme="minorHAnsi"/>
              <w:sz w:val="24"/>
              <w:szCs w:val="24"/>
              <w:lang w:val="en-GB"/>
            </w:rPr>
            <w:t xml:space="preserve">. The annual </w:t>
          </w:r>
          <w:r w:rsidR="001114FB" w:rsidRPr="000D4A19">
            <w:rPr>
              <w:rFonts w:cstheme="minorHAnsi"/>
              <w:sz w:val="24"/>
              <w:szCs w:val="24"/>
              <w:lang w:val="en-GB"/>
            </w:rPr>
            <w:t xml:space="preserve">rating </w:t>
          </w:r>
          <w:r w:rsidRPr="000D4A19">
            <w:rPr>
              <w:rFonts w:cstheme="minorHAnsi"/>
              <w:sz w:val="24"/>
              <w:szCs w:val="24"/>
              <w:lang w:val="en-GB"/>
            </w:rPr>
            <w:t>affects the employment rights of the police officer in question (i.e. the number o</w:t>
          </w:r>
          <w:r w:rsidR="00A21D23" w:rsidRPr="000D4A19">
            <w:rPr>
              <w:rFonts w:cstheme="minorHAnsi"/>
              <w:sz w:val="24"/>
              <w:szCs w:val="24"/>
              <w:lang w:val="en-GB"/>
            </w:rPr>
            <w:t>f rest days, qualification exam etc.</w:t>
          </w:r>
          <w:r w:rsidRPr="000D4A19">
            <w:rPr>
              <w:rFonts w:cstheme="minorHAnsi"/>
              <w:sz w:val="24"/>
              <w:szCs w:val="24"/>
              <w:lang w:val="en-GB"/>
            </w:rPr>
            <w:t xml:space="preserve">). A police officer can lodge a complaint against his/her annual </w:t>
          </w:r>
          <w:r w:rsidR="00E56295" w:rsidRPr="000D4A19">
            <w:rPr>
              <w:rFonts w:cstheme="minorHAnsi"/>
              <w:sz w:val="24"/>
              <w:szCs w:val="24"/>
              <w:lang w:val="en-GB"/>
            </w:rPr>
            <w:t xml:space="preserve">rating with </w:t>
          </w:r>
          <w:r w:rsidR="001114FB" w:rsidRPr="000D4A19">
            <w:rPr>
              <w:rFonts w:cstheme="minorHAnsi"/>
              <w:sz w:val="24"/>
              <w:szCs w:val="24"/>
              <w:lang w:val="en-GB"/>
            </w:rPr>
            <w:t xml:space="preserve">the Civil Service Committee (a Committee at the </w:t>
          </w:r>
          <w:r w:rsidR="00B35889" w:rsidRPr="000D4A19">
            <w:rPr>
              <w:rFonts w:cstheme="minorHAnsi"/>
              <w:sz w:val="24"/>
              <w:szCs w:val="24"/>
              <w:lang w:val="en-GB"/>
            </w:rPr>
            <w:t xml:space="preserve">Ministry of Public Administration). </w:t>
          </w:r>
        </w:p>
        <w:p w14:paraId="5555F7F0" w14:textId="77777777" w:rsidR="009919AC" w:rsidRPr="000D4A19" w:rsidRDefault="009919AC" w:rsidP="004B7CAB">
          <w:pPr>
            <w:tabs>
              <w:tab w:val="left" w:pos="709"/>
            </w:tabs>
            <w:spacing w:after="0" w:line="240" w:lineRule="auto"/>
            <w:jc w:val="both"/>
            <w:rPr>
              <w:rFonts w:cstheme="minorHAnsi"/>
              <w:i/>
              <w:sz w:val="24"/>
              <w:szCs w:val="24"/>
              <w:lang w:val="en-GB"/>
            </w:rPr>
          </w:pPr>
        </w:p>
        <w:p w14:paraId="47D4B487" w14:textId="6007F0BB" w:rsidR="00F3277A" w:rsidRPr="000D4A19" w:rsidRDefault="000D4A19" w:rsidP="00F3277A">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The Director General of the Police is selected following a public recruitment procedure.</w:t>
          </w:r>
          <w:r w:rsidRPr="000D4A19">
            <w:rPr>
              <w:rStyle w:val="Referencafusnote"/>
              <w:rFonts w:cstheme="minorHAnsi"/>
              <w:sz w:val="24"/>
              <w:szCs w:val="24"/>
              <w:lang w:val="en-GB"/>
            </w:rPr>
            <w:footnoteReference w:id="61"/>
          </w:r>
          <w:r w:rsidRPr="000D4A19">
            <w:rPr>
              <w:rFonts w:cstheme="minorHAnsi"/>
              <w:sz w:val="24"/>
              <w:szCs w:val="24"/>
              <w:lang w:val="en-GB"/>
            </w:rPr>
            <w:t xml:space="preserve"> S/he is appointed for a period of five years by the government of Croatia, on the proposal of the Ministry of the Interior (Article 59 of the Police Act). </w:t>
          </w:r>
          <w:r w:rsidR="009919AC" w:rsidRPr="000D4A19">
            <w:rPr>
              <w:rFonts w:cstheme="minorHAnsi"/>
              <w:sz w:val="24"/>
              <w:szCs w:val="24"/>
              <w:lang w:val="en-GB"/>
            </w:rPr>
            <w:t xml:space="preserve">Vacancies for </w:t>
          </w:r>
          <w:r w:rsidRPr="000D4A19">
            <w:rPr>
              <w:rFonts w:cstheme="minorHAnsi"/>
              <w:sz w:val="24"/>
              <w:szCs w:val="24"/>
              <w:lang w:val="en-GB"/>
            </w:rPr>
            <w:t xml:space="preserve">other </w:t>
          </w:r>
          <w:r w:rsidR="009919AC" w:rsidRPr="000D4A19">
            <w:rPr>
              <w:rFonts w:cstheme="minorHAnsi"/>
              <w:sz w:val="24"/>
              <w:szCs w:val="24"/>
              <w:lang w:val="en-GB"/>
            </w:rPr>
            <w:t>managerial posts, namely the Deputy and Assistant Director General</w:t>
          </w:r>
          <w:r w:rsidR="00045308" w:rsidRPr="000D4A19">
            <w:rPr>
              <w:rStyle w:val="Referencafusnote"/>
              <w:rFonts w:cstheme="minorHAnsi"/>
              <w:sz w:val="24"/>
              <w:szCs w:val="24"/>
              <w:lang w:val="en-GB"/>
            </w:rPr>
            <w:footnoteReference w:id="62"/>
          </w:r>
          <w:r w:rsidR="009919AC" w:rsidRPr="000D4A19">
            <w:rPr>
              <w:rFonts w:cstheme="minorHAnsi"/>
              <w:sz w:val="24"/>
              <w:szCs w:val="24"/>
              <w:lang w:val="en-GB"/>
            </w:rPr>
            <w:t xml:space="preserve">, heads of police administrations and heads of police stations, are announced internally. </w:t>
          </w:r>
          <w:r w:rsidR="00351175" w:rsidRPr="000D4A19">
            <w:rPr>
              <w:rFonts w:cstheme="minorHAnsi"/>
              <w:sz w:val="24"/>
              <w:szCs w:val="24"/>
              <w:lang w:val="en-GB"/>
            </w:rPr>
            <w:t>A</w:t>
          </w:r>
          <w:r w:rsidR="009919AC" w:rsidRPr="000D4A19">
            <w:rPr>
              <w:rFonts w:cstheme="minorHAnsi"/>
              <w:sz w:val="24"/>
              <w:szCs w:val="24"/>
              <w:lang w:val="en-GB"/>
            </w:rPr>
            <w:t xml:space="preserve"> commission appointed from amongst the ranks of managerial, senior </w:t>
          </w:r>
          <w:r w:rsidR="001114FB" w:rsidRPr="000D4A19">
            <w:rPr>
              <w:rFonts w:cstheme="minorHAnsi"/>
              <w:sz w:val="24"/>
              <w:szCs w:val="24"/>
              <w:lang w:val="en-GB"/>
            </w:rPr>
            <w:t xml:space="preserve">and lower-ranking </w:t>
          </w:r>
          <w:r w:rsidR="009919AC" w:rsidRPr="000D4A19">
            <w:rPr>
              <w:rFonts w:cstheme="minorHAnsi"/>
              <w:sz w:val="24"/>
              <w:szCs w:val="24"/>
              <w:lang w:val="en-GB"/>
            </w:rPr>
            <w:t>police officers and representatives of unions</w:t>
          </w:r>
          <w:r w:rsidR="00351175" w:rsidRPr="000D4A19">
            <w:rPr>
              <w:rFonts w:cstheme="minorHAnsi"/>
              <w:sz w:val="24"/>
              <w:szCs w:val="24"/>
              <w:lang w:val="en-GB"/>
            </w:rPr>
            <w:t xml:space="preserve"> subsequently carries out the selection of candidates </w:t>
          </w:r>
          <w:r w:rsidR="009919AC" w:rsidRPr="000D4A19">
            <w:rPr>
              <w:rFonts w:cstheme="minorHAnsi"/>
              <w:sz w:val="24"/>
              <w:szCs w:val="24"/>
              <w:lang w:val="en-GB"/>
            </w:rPr>
            <w:t xml:space="preserve">(Article 60, Police Act). </w:t>
          </w:r>
          <w:r w:rsidRPr="000D4A19">
            <w:rPr>
              <w:rFonts w:cstheme="minorHAnsi"/>
              <w:sz w:val="24"/>
              <w:szCs w:val="24"/>
              <w:lang w:val="en-GB"/>
            </w:rPr>
            <w:t>With the exception of heads of police stations (who</w:t>
          </w:r>
          <w:r w:rsidRPr="000D4A19">
            <w:rPr>
              <w:rFonts w:ascii="MS Gothic" w:eastAsia="MS Gothic" w:hAnsi="MS Gothic"/>
              <w:color w:val="000000"/>
              <w:lang w:val="en-GB"/>
            </w:rPr>
            <w:t xml:space="preserve"> </w:t>
          </w:r>
          <w:r>
            <w:rPr>
              <w:rFonts w:ascii="MS Gothic" w:eastAsia="MS Gothic" w:hAnsi="MS Gothic"/>
              <w:color w:val="000000"/>
              <w:lang w:val="en-GB"/>
            </w:rPr>
            <w:t>-</w:t>
          </w:r>
          <w:r w:rsidRPr="000D4A19">
            <w:rPr>
              <w:rFonts w:ascii="MS Gothic" w:eastAsia="MS Gothic" w:hAnsi="MS Gothic"/>
              <w:color w:val="000000"/>
              <w:lang w:val="en-GB"/>
            </w:rPr>
            <w:t xml:space="preserve"> </w:t>
          </w:r>
          <w:r w:rsidRPr="000D4A19">
            <w:rPr>
              <w:rFonts w:eastAsia="MS Gothic"/>
              <w:color w:val="000000"/>
              <w:sz w:val="24"/>
              <w:szCs w:val="24"/>
              <w:lang w:val="en-GB"/>
            </w:rPr>
            <w:t xml:space="preserve">following </w:t>
          </w:r>
          <w:r w:rsidRPr="000D4A19">
            <w:rPr>
              <w:rFonts w:cstheme="minorHAnsi"/>
              <w:sz w:val="24"/>
              <w:szCs w:val="24"/>
              <w:lang w:val="en-GB"/>
            </w:rPr>
            <w:t>the changes to the Police Act</w:t>
          </w:r>
          <w:r>
            <w:rPr>
              <w:rFonts w:cstheme="minorHAnsi"/>
              <w:sz w:val="24"/>
              <w:szCs w:val="24"/>
              <w:lang w:val="en-GB"/>
            </w:rPr>
            <w:t>,</w:t>
          </w:r>
          <w:r w:rsidRPr="000D4A19">
            <w:rPr>
              <w:rFonts w:cstheme="minorHAnsi"/>
              <w:sz w:val="24"/>
              <w:szCs w:val="24"/>
              <w:lang w:val="en-GB"/>
            </w:rPr>
            <w:t xml:space="preserve"> which ent</w:t>
          </w:r>
          <w:r>
            <w:rPr>
              <w:rFonts w:cstheme="minorHAnsi"/>
              <w:sz w:val="24"/>
              <w:szCs w:val="24"/>
              <w:lang w:val="en-GB"/>
            </w:rPr>
            <w:t xml:space="preserve">ered into force in July 2019 </w:t>
          </w:r>
          <w:r w:rsidRPr="000D4A19">
            <w:rPr>
              <w:rFonts w:eastAsia="MS Gothic"/>
              <w:color w:val="000000"/>
              <w:sz w:val="24"/>
              <w:szCs w:val="24"/>
              <w:lang w:val="en-GB"/>
            </w:rPr>
            <w:t>– ar</w:t>
          </w:r>
          <w:r>
            <w:rPr>
              <w:rFonts w:eastAsia="MS Gothic"/>
              <w:color w:val="000000"/>
              <w:sz w:val="24"/>
              <w:szCs w:val="24"/>
              <w:lang w:val="en-GB"/>
            </w:rPr>
            <w:t>e appointed for an in</w:t>
          </w:r>
          <w:r w:rsidR="00EC499D">
            <w:rPr>
              <w:rFonts w:eastAsia="MS Gothic"/>
              <w:color w:val="000000"/>
              <w:sz w:val="24"/>
              <w:szCs w:val="24"/>
              <w:lang w:val="en-GB"/>
            </w:rPr>
            <w:t>determinate period of time, until they are transferred or promoted)</w:t>
          </w:r>
          <w:r w:rsidRPr="000D4A19">
            <w:rPr>
              <w:rFonts w:cstheme="minorHAnsi"/>
              <w:sz w:val="24"/>
              <w:szCs w:val="24"/>
              <w:lang w:val="en-GB"/>
            </w:rPr>
            <w:t>, c</w:t>
          </w:r>
          <w:r w:rsidR="009919AC" w:rsidRPr="000D4A19">
            <w:rPr>
              <w:rFonts w:cstheme="minorHAnsi"/>
              <w:sz w:val="24"/>
              <w:szCs w:val="24"/>
              <w:lang w:val="en-GB"/>
            </w:rPr>
            <w:t xml:space="preserve">andidates for </w:t>
          </w:r>
          <w:r w:rsidRPr="000D4A19">
            <w:rPr>
              <w:rFonts w:cstheme="minorHAnsi"/>
              <w:sz w:val="24"/>
              <w:szCs w:val="24"/>
              <w:lang w:val="en-GB"/>
            </w:rPr>
            <w:t xml:space="preserve">these </w:t>
          </w:r>
          <w:r w:rsidR="009919AC" w:rsidRPr="000D4A19">
            <w:rPr>
              <w:rFonts w:cstheme="minorHAnsi"/>
              <w:sz w:val="24"/>
              <w:szCs w:val="24"/>
              <w:lang w:val="en-GB"/>
            </w:rPr>
            <w:t>posts are appointed for a period of five years</w:t>
          </w:r>
          <w:r w:rsidR="00AB10E9" w:rsidRPr="000D4A19">
            <w:rPr>
              <w:rFonts w:cstheme="minorHAnsi"/>
              <w:sz w:val="24"/>
              <w:szCs w:val="24"/>
              <w:lang w:val="en-GB"/>
            </w:rPr>
            <w:t>. They may reap</w:t>
          </w:r>
          <w:r w:rsidR="00351175" w:rsidRPr="000D4A19">
            <w:rPr>
              <w:rFonts w:cstheme="minorHAnsi"/>
              <w:sz w:val="24"/>
              <w:szCs w:val="24"/>
              <w:lang w:val="en-GB"/>
            </w:rPr>
            <w:t xml:space="preserve">ply but have to go through the selection </w:t>
          </w:r>
          <w:r w:rsidR="00AB10E9" w:rsidRPr="000D4A19">
            <w:rPr>
              <w:rFonts w:cstheme="minorHAnsi"/>
              <w:sz w:val="24"/>
              <w:szCs w:val="24"/>
              <w:lang w:val="en-GB"/>
            </w:rPr>
            <w:t>process</w:t>
          </w:r>
          <w:r w:rsidR="00351175" w:rsidRPr="000D4A19">
            <w:rPr>
              <w:rFonts w:cstheme="minorHAnsi"/>
              <w:sz w:val="24"/>
              <w:szCs w:val="24"/>
              <w:lang w:val="en-GB"/>
            </w:rPr>
            <w:t xml:space="preserve"> again</w:t>
          </w:r>
          <w:r w:rsidR="00F3277A" w:rsidRPr="000D4A19">
            <w:rPr>
              <w:rFonts w:cstheme="minorHAnsi"/>
              <w:sz w:val="24"/>
              <w:szCs w:val="24"/>
              <w:lang w:val="en-GB"/>
            </w:rPr>
            <w:t xml:space="preserve">. </w:t>
          </w:r>
        </w:p>
        <w:p w14:paraId="6004090C" w14:textId="77777777" w:rsidR="00F3277A" w:rsidRPr="000D4A19" w:rsidRDefault="00F3277A" w:rsidP="00F3277A">
          <w:pPr>
            <w:tabs>
              <w:tab w:val="left" w:pos="709"/>
              <w:tab w:val="num" w:pos="8222"/>
            </w:tabs>
            <w:spacing w:after="0" w:line="240" w:lineRule="auto"/>
            <w:jc w:val="both"/>
            <w:rPr>
              <w:rFonts w:cstheme="minorHAnsi"/>
              <w:sz w:val="24"/>
              <w:szCs w:val="24"/>
              <w:lang w:val="en-GB"/>
            </w:rPr>
          </w:pPr>
        </w:p>
        <w:p w14:paraId="5E15A74D" w14:textId="764693A8" w:rsidR="009919AC" w:rsidRPr="000D4A19" w:rsidRDefault="009919AC" w:rsidP="000B184C">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Vacancies for other positions (i.e. neither </w:t>
          </w:r>
          <w:r w:rsidR="00C550D0" w:rsidRPr="000D4A19">
            <w:rPr>
              <w:rFonts w:cstheme="minorHAnsi"/>
              <w:sz w:val="24"/>
              <w:szCs w:val="24"/>
              <w:lang w:val="en-GB"/>
            </w:rPr>
            <w:t>the abovement</w:t>
          </w:r>
          <w:r w:rsidR="00F3277A" w:rsidRPr="000D4A19">
            <w:rPr>
              <w:rFonts w:cstheme="minorHAnsi"/>
              <w:sz w:val="24"/>
              <w:szCs w:val="24"/>
              <w:lang w:val="en-GB"/>
            </w:rPr>
            <w:t>ioned</w:t>
          </w:r>
          <w:r w:rsidRPr="000D4A19">
            <w:rPr>
              <w:rFonts w:cstheme="minorHAnsi"/>
              <w:sz w:val="24"/>
              <w:szCs w:val="24"/>
              <w:lang w:val="en-GB"/>
            </w:rPr>
            <w:t xml:space="preserve"> managerial positions nor entry-level positions) are announced internally and </w:t>
          </w:r>
          <w:r w:rsidR="00B35889" w:rsidRPr="000D4A19">
            <w:rPr>
              <w:rFonts w:cstheme="minorHAnsi"/>
              <w:sz w:val="24"/>
              <w:szCs w:val="24"/>
              <w:lang w:val="en-GB"/>
            </w:rPr>
            <w:t xml:space="preserve">may also be filled </w:t>
          </w:r>
          <w:r w:rsidRPr="000D4A19">
            <w:rPr>
              <w:rFonts w:cstheme="minorHAnsi"/>
              <w:sz w:val="24"/>
              <w:szCs w:val="24"/>
              <w:lang w:val="en-GB"/>
            </w:rPr>
            <w:t>by transfer</w:t>
          </w:r>
          <w:r w:rsidR="001114FB" w:rsidRPr="000D4A19">
            <w:rPr>
              <w:rFonts w:cstheme="minorHAnsi"/>
              <w:sz w:val="24"/>
              <w:szCs w:val="24"/>
              <w:lang w:val="en-GB"/>
            </w:rPr>
            <w:t>ring police officers</w:t>
          </w:r>
          <w:r w:rsidR="00B35889" w:rsidRPr="000D4A19">
            <w:rPr>
              <w:rFonts w:cstheme="minorHAnsi"/>
              <w:sz w:val="24"/>
              <w:szCs w:val="24"/>
              <w:lang w:val="en-GB"/>
            </w:rPr>
            <w:t>,</w:t>
          </w:r>
          <w:r w:rsidRPr="000D4A19">
            <w:rPr>
              <w:rFonts w:cstheme="minorHAnsi"/>
              <w:sz w:val="24"/>
              <w:szCs w:val="24"/>
              <w:lang w:val="en-GB"/>
            </w:rPr>
            <w:t xml:space="preserve"> in accordance with the Regulation on launching and implementing public vacancy competitions in the civil service (Official Gazette No 78/2017), which also applies to the police. Pursuant to this Regulation</w:t>
          </w:r>
          <w:r w:rsidR="009D6995" w:rsidRPr="000D4A19">
            <w:rPr>
              <w:rFonts w:cstheme="minorHAnsi"/>
              <w:sz w:val="24"/>
              <w:szCs w:val="24"/>
              <w:lang w:val="en-GB"/>
            </w:rPr>
            <w:t>,</w:t>
          </w:r>
          <w:r w:rsidRPr="000D4A19">
            <w:rPr>
              <w:rFonts w:cstheme="minorHAnsi"/>
              <w:sz w:val="24"/>
              <w:szCs w:val="24"/>
              <w:lang w:val="en-GB"/>
            </w:rPr>
            <w:t xml:space="preserve"> candidates f</w:t>
          </w:r>
          <w:r w:rsidR="009D6995" w:rsidRPr="000D4A19">
            <w:rPr>
              <w:rFonts w:cstheme="minorHAnsi"/>
              <w:sz w:val="24"/>
              <w:szCs w:val="24"/>
              <w:lang w:val="en-GB"/>
            </w:rPr>
            <w:t>or</w:t>
          </w:r>
          <w:r w:rsidRPr="000D4A19">
            <w:rPr>
              <w:rFonts w:cstheme="minorHAnsi"/>
              <w:sz w:val="24"/>
              <w:szCs w:val="24"/>
              <w:lang w:val="en-GB"/>
            </w:rPr>
            <w:t xml:space="preserve"> the positions are selected following a competition, in which the candidates’ knowledge, competences and skills, as well as the results of their work to date are ascertained through a test and interview, conducted by a commission of an uneven number of members (at least three) appointed by </w:t>
          </w:r>
          <w:r w:rsidR="000B184C" w:rsidRPr="000D4A19">
            <w:rPr>
              <w:rFonts w:cstheme="minorHAnsi"/>
              <w:sz w:val="24"/>
              <w:szCs w:val="24"/>
              <w:lang w:val="en-GB"/>
            </w:rPr>
            <w:t xml:space="preserve">– depending on the level of the vacancy involved – the head of the police station, the head of the police administration or other organisational unit. </w:t>
          </w:r>
          <w:r w:rsidRPr="000D4A19">
            <w:rPr>
              <w:rFonts w:cstheme="minorHAnsi"/>
              <w:sz w:val="24"/>
              <w:szCs w:val="24"/>
              <w:lang w:val="en-GB"/>
            </w:rPr>
            <w:t>The candidate ranked first</w:t>
          </w:r>
          <w:r w:rsidR="00E56295" w:rsidRPr="000D4A19">
            <w:rPr>
              <w:rFonts w:cstheme="minorHAnsi"/>
              <w:sz w:val="24"/>
              <w:szCs w:val="24"/>
              <w:lang w:val="en-GB"/>
            </w:rPr>
            <w:t>, as</w:t>
          </w:r>
          <w:r w:rsidRPr="000D4A19">
            <w:rPr>
              <w:rFonts w:cstheme="minorHAnsi"/>
              <w:sz w:val="24"/>
              <w:szCs w:val="24"/>
              <w:lang w:val="en-GB"/>
            </w:rPr>
            <w:t xml:space="preserve"> based on the total score obtained in the test and interview</w:t>
          </w:r>
          <w:r w:rsidR="00E56295" w:rsidRPr="000D4A19">
            <w:rPr>
              <w:rFonts w:cstheme="minorHAnsi"/>
              <w:sz w:val="24"/>
              <w:szCs w:val="24"/>
              <w:lang w:val="en-GB"/>
            </w:rPr>
            <w:t>,</w:t>
          </w:r>
          <w:r w:rsidRPr="000D4A19">
            <w:rPr>
              <w:rFonts w:cstheme="minorHAnsi"/>
              <w:sz w:val="24"/>
              <w:szCs w:val="24"/>
              <w:lang w:val="en-GB"/>
            </w:rPr>
            <w:t xml:space="preserve"> is to be selected. </w:t>
          </w:r>
        </w:p>
        <w:p w14:paraId="7045799E" w14:textId="77777777" w:rsidR="009919AC" w:rsidRPr="000D4A19" w:rsidRDefault="009919AC" w:rsidP="004B7CAB">
          <w:pPr>
            <w:tabs>
              <w:tab w:val="left" w:pos="709"/>
              <w:tab w:val="num" w:pos="8222"/>
            </w:tabs>
            <w:spacing w:after="0" w:line="240" w:lineRule="auto"/>
            <w:jc w:val="both"/>
            <w:rPr>
              <w:rFonts w:cstheme="minorHAnsi"/>
              <w:i/>
              <w:sz w:val="24"/>
              <w:szCs w:val="24"/>
              <w:lang w:val="en-GB"/>
            </w:rPr>
          </w:pPr>
        </w:p>
        <w:p w14:paraId="34578B99" w14:textId="407D1D80"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i/>
              <w:sz w:val="24"/>
              <w:szCs w:val="24"/>
              <w:lang w:val="en-GB"/>
            </w:rPr>
          </w:pPr>
          <w:r w:rsidRPr="000D4A19">
            <w:rPr>
              <w:rFonts w:cstheme="minorHAnsi"/>
              <w:sz w:val="24"/>
              <w:szCs w:val="24"/>
              <w:lang w:val="en-GB"/>
            </w:rPr>
            <w:t xml:space="preserve">Transfer of police officers can take place either on the basis of a personal request or if the needs of the service so require. </w:t>
          </w:r>
          <w:r w:rsidR="00B76FA0">
            <w:rPr>
              <w:rFonts w:cstheme="minorHAnsi"/>
              <w:sz w:val="24"/>
              <w:szCs w:val="24"/>
              <w:lang w:val="en-GB"/>
            </w:rPr>
            <w:t xml:space="preserve">Transfers can </w:t>
          </w:r>
          <w:r w:rsidRPr="000D4A19">
            <w:rPr>
              <w:rFonts w:cstheme="minorHAnsi"/>
              <w:sz w:val="24"/>
              <w:szCs w:val="24"/>
              <w:lang w:val="en-GB"/>
            </w:rPr>
            <w:t xml:space="preserve">take place to positions requiring the same level of qualifications and the same rank the police officer already has and may </w:t>
          </w:r>
          <w:r w:rsidR="009D6995" w:rsidRPr="000D4A19">
            <w:rPr>
              <w:rFonts w:cstheme="minorHAnsi"/>
              <w:sz w:val="24"/>
              <w:szCs w:val="24"/>
              <w:lang w:val="en-GB"/>
            </w:rPr>
            <w:t>occur</w:t>
          </w:r>
          <w:r w:rsidRPr="000D4A19">
            <w:rPr>
              <w:rFonts w:cstheme="minorHAnsi"/>
              <w:sz w:val="24"/>
              <w:szCs w:val="24"/>
              <w:lang w:val="en-GB"/>
            </w:rPr>
            <w:t xml:space="preserve"> both in the same or another place of work, but cannot be longer than six months or until the absent police officer has returned.</w:t>
          </w:r>
          <w:r w:rsidR="00612F9B" w:rsidRPr="000D4A19">
            <w:rPr>
              <w:rFonts w:cstheme="minorHAnsi"/>
              <w:i/>
              <w:sz w:val="24"/>
              <w:szCs w:val="24"/>
              <w:lang w:val="en-GB"/>
            </w:rPr>
            <w:t xml:space="preserve"> </w:t>
          </w:r>
          <w:r w:rsidR="00B76FA0" w:rsidRPr="00CC7AD8">
            <w:rPr>
              <w:rFonts w:cstheme="minorHAnsi"/>
              <w:sz w:val="24"/>
              <w:szCs w:val="24"/>
              <w:lang w:val="en-GB"/>
            </w:rPr>
            <w:t>Following</w:t>
          </w:r>
          <w:r w:rsidR="00B76FA0">
            <w:rPr>
              <w:rFonts w:cstheme="minorHAnsi"/>
              <w:i/>
              <w:sz w:val="24"/>
              <w:szCs w:val="24"/>
              <w:lang w:val="en-GB"/>
            </w:rPr>
            <w:t xml:space="preserve"> </w:t>
          </w:r>
          <w:r w:rsidR="00612F9B" w:rsidRPr="000D4A19">
            <w:rPr>
              <w:rFonts w:cstheme="minorHAnsi"/>
              <w:sz w:val="24"/>
              <w:szCs w:val="24"/>
              <w:lang w:val="en-GB"/>
            </w:rPr>
            <w:t xml:space="preserve">the amendments to the Police Act </w:t>
          </w:r>
          <w:r w:rsidR="00B76FA0">
            <w:rPr>
              <w:rFonts w:cstheme="minorHAnsi"/>
              <w:sz w:val="24"/>
              <w:szCs w:val="24"/>
              <w:lang w:val="en-GB"/>
            </w:rPr>
            <w:t xml:space="preserve">of July 2019, </w:t>
          </w:r>
          <w:r w:rsidR="00612F9B" w:rsidRPr="000D4A19">
            <w:rPr>
              <w:rFonts w:cstheme="minorHAnsi"/>
              <w:sz w:val="24"/>
              <w:szCs w:val="24"/>
              <w:lang w:val="en-GB"/>
            </w:rPr>
            <w:t>transfer</w:t>
          </w:r>
          <w:r w:rsidR="00B76FA0">
            <w:rPr>
              <w:rFonts w:cstheme="minorHAnsi"/>
              <w:sz w:val="24"/>
              <w:szCs w:val="24"/>
              <w:lang w:val="en-GB"/>
            </w:rPr>
            <w:t>s</w:t>
          </w:r>
          <w:r w:rsidR="00612F9B" w:rsidRPr="000D4A19">
            <w:rPr>
              <w:rFonts w:cstheme="minorHAnsi"/>
              <w:sz w:val="24"/>
              <w:szCs w:val="24"/>
              <w:lang w:val="en-GB"/>
            </w:rPr>
            <w:t xml:space="preserve"> of police officers, without their consent, to a lower-ranking police post</w:t>
          </w:r>
          <w:r w:rsidR="00E307DF" w:rsidRPr="000D4A19">
            <w:rPr>
              <w:rFonts w:cstheme="minorHAnsi"/>
              <w:sz w:val="24"/>
              <w:szCs w:val="24"/>
              <w:lang w:val="en-GB"/>
            </w:rPr>
            <w:t xml:space="preserve"> (not only as a disciplinary measure but also if the human resource needs of the police require this)</w:t>
          </w:r>
          <w:r w:rsidR="00B76FA0">
            <w:rPr>
              <w:rFonts w:cstheme="minorHAnsi"/>
              <w:sz w:val="24"/>
              <w:szCs w:val="24"/>
              <w:lang w:val="en-GB"/>
            </w:rPr>
            <w:t xml:space="preserve"> are now also possible</w:t>
          </w:r>
          <w:r w:rsidR="00847D5A">
            <w:rPr>
              <w:rFonts w:cstheme="minorHAnsi"/>
              <w:sz w:val="24"/>
              <w:szCs w:val="24"/>
              <w:lang w:val="en-GB"/>
            </w:rPr>
            <w:t xml:space="preserve"> if s/he has had a “satisfactory” annual rating in the previous year</w:t>
          </w:r>
          <w:r w:rsidR="00612F9B" w:rsidRPr="000D4A19">
            <w:rPr>
              <w:rFonts w:cstheme="minorHAnsi"/>
              <w:sz w:val="24"/>
              <w:szCs w:val="24"/>
              <w:lang w:val="en-GB"/>
            </w:rPr>
            <w:t>. The GET heard that following negotiations with the trade unions</w:t>
          </w:r>
          <w:r w:rsidR="00E307DF" w:rsidRPr="000D4A19">
            <w:rPr>
              <w:rFonts w:cstheme="minorHAnsi"/>
              <w:sz w:val="24"/>
              <w:szCs w:val="24"/>
              <w:lang w:val="en-GB"/>
            </w:rPr>
            <w:t>, the police officers, who are transferred to a lower position</w:t>
          </w:r>
          <w:r w:rsidR="00351175" w:rsidRPr="000D4A19">
            <w:rPr>
              <w:rFonts w:cstheme="minorHAnsi"/>
              <w:sz w:val="24"/>
              <w:szCs w:val="24"/>
              <w:lang w:val="en-GB"/>
            </w:rPr>
            <w:t>,</w:t>
          </w:r>
          <w:r w:rsidR="00E307DF" w:rsidRPr="000D4A19">
            <w:rPr>
              <w:rFonts w:cstheme="minorHAnsi"/>
              <w:sz w:val="24"/>
              <w:szCs w:val="24"/>
              <w:lang w:val="en-GB"/>
            </w:rPr>
            <w:t xml:space="preserve"> will </w:t>
          </w:r>
          <w:r w:rsidR="00351175" w:rsidRPr="000D4A19">
            <w:rPr>
              <w:rFonts w:cstheme="minorHAnsi"/>
              <w:sz w:val="24"/>
              <w:szCs w:val="24"/>
              <w:lang w:val="en-GB"/>
            </w:rPr>
            <w:t xml:space="preserve">nevertheless </w:t>
          </w:r>
          <w:r w:rsidR="00E307DF" w:rsidRPr="000D4A19">
            <w:rPr>
              <w:rFonts w:cstheme="minorHAnsi"/>
              <w:sz w:val="24"/>
              <w:szCs w:val="24"/>
              <w:lang w:val="en-GB"/>
            </w:rPr>
            <w:t xml:space="preserve">keep the salary of their previous position. </w:t>
          </w:r>
        </w:p>
        <w:p w14:paraId="1D934753" w14:textId="77777777" w:rsidR="009919AC" w:rsidRPr="000D4A19" w:rsidRDefault="009919AC" w:rsidP="004B7CAB">
          <w:pPr>
            <w:tabs>
              <w:tab w:val="left" w:pos="709"/>
              <w:tab w:val="num" w:pos="8222"/>
            </w:tabs>
            <w:spacing w:after="0" w:line="240" w:lineRule="auto"/>
            <w:jc w:val="both"/>
            <w:rPr>
              <w:rFonts w:cstheme="minorHAnsi"/>
              <w:i/>
              <w:sz w:val="24"/>
              <w:szCs w:val="24"/>
              <w:lang w:val="en-GB"/>
            </w:rPr>
          </w:pPr>
        </w:p>
        <w:p w14:paraId="3623ED5B" w14:textId="26390B1C"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Termination of service takes place upon retirement (at a certain age or number of service years), personal request or as a disciplinary measure. </w:t>
          </w:r>
          <w:r w:rsidR="002172A1" w:rsidRPr="000D4A19">
            <w:rPr>
              <w:rFonts w:cstheme="minorHAnsi"/>
              <w:sz w:val="24"/>
              <w:szCs w:val="24"/>
              <w:lang w:val="en-GB"/>
            </w:rPr>
            <w:t>The Director General, his/her Deputy and Assistant, the heads of police administrations and police stations may be relieved from their position at personal request, because of permanent incapacity to work in this function, as a disciplinary measure or retirement.</w:t>
          </w:r>
          <w:r w:rsidR="00847D5A">
            <w:rPr>
              <w:rFonts w:cstheme="minorHAnsi"/>
              <w:sz w:val="24"/>
              <w:szCs w:val="24"/>
              <w:lang w:val="en-GB"/>
            </w:rPr>
            <w:t xml:space="preserve"> The Director General of the police can be dismissed by the government, on the proposal of the minister of the interior; the Deputy and/or Assistant Director General and heads of police administration can be dismissed by the minister on the proposal of the Director General</w:t>
          </w:r>
          <w:r w:rsidR="002172A1" w:rsidRPr="000D4A19">
            <w:rPr>
              <w:rFonts w:cstheme="minorHAnsi"/>
              <w:sz w:val="24"/>
              <w:szCs w:val="24"/>
              <w:lang w:val="en-GB"/>
            </w:rPr>
            <w:t xml:space="preserve">. </w:t>
          </w:r>
        </w:p>
        <w:p w14:paraId="58ED86DA" w14:textId="77777777" w:rsidR="00E307DF" w:rsidRPr="000D4A19" w:rsidRDefault="00E307DF" w:rsidP="00E307DF">
          <w:pPr>
            <w:tabs>
              <w:tab w:val="left" w:pos="709"/>
              <w:tab w:val="num" w:pos="8222"/>
            </w:tabs>
            <w:spacing w:after="0" w:line="240" w:lineRule="auto"/>
            <w:jc w:val="both"/>
            <w:rPr>
              <w:rFonts w:cstheme="minorHAnsi"/>
              <w:sz w:val="24"/>
              <w:szCs w:val="24"/>
              <w:lang w:val="en-GB"/>
            </w:rPr>
          </w:pPr>
        </w:p>
        <w:p w14:paraId="0953C1D5" w14:textId="0C6FD7A7" w:rsidR="00256C4A" w:rsidRPr="000D4A19" w:rsidRDefault="00E421A8" w:rsidP="005D2555">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T</w:t>
          </w:r>
          <w:r w:rsidR="00E307DF" w:rsidRPr="000D4A19">
            <w:rPr>
              <w:rFonts w:cstheme="minorHAnsi"/>
              <w:sz w:val="24"/>
              <w:szCs w:val="24"/>
              <w:lang w:val="en-GB"/>
            </w:rPr>
            <w:t>he GET hea</w:t>
          </w:r>
          <w:r w:rsidR="002172A1" w:rsidRPr="000D4A19">
            <w:rPr>
              <w:rFonts w:cstheme="minorHAnsi"/>
              <w:sz w:val="24"/>
              <w:szCs w:val="24"/>
              <w:lang w:val="en-GB"/>
            </w:rPr>
            <w:t>rd mixed reactions to the appointment and promotion process</w:t>
          </w:r>
          <w:r w:rsidR="00E307DF" w:rsidRPr="000D4A19">
            <w:rPr>
              <w:rFonts w:cstheme="minorHAnsi"/>
              <w:sz w:val="24"/>
              <w:szCs w:val="24"/>
              <w:lang w:val="en-GB"/>
            </w:rPr>
            <w:t xml:space="preserve"> </w:t>
          </w:r>
          <w:r w:rsidR="002172A1" w:rsidRPr="000D4A19">
            <w:rPr>
              <w:rFonts w:cstheme="minorHAnsi"/>
              <w:sz w:val="24"/>
              <w:szCs w:val="24"/>
              <w:lang w:val="en-GB"/>
            </w:rPr>
            <w:t xml:space="preserve">in the police </w:t>
          </w:r>
          <w:r w:rsidR="00E307DF" w:rsidRPr="000D4A19">
            <w:rPr>
              <w:rFonts w:cstheme="minorHAnsi"/>
              <w:sz w:val="24"/>
              <w:szCs w:val="24"/>
              <w:lang w:val="en-GB"/>
            </w:rPr>
            <w:t xml:space="preserve">from </w:t>
          </w:r>
          <w:r w:rsidR="002172A1" w:rsidRPr="000D4A19">
            <w:rPr>
              <w:rFonts w:cstheme="minorHAnsi"/>
              <w:sz w:val="24"/>
              <w:szCs w:val="24"/>
              <w:lang w:val="en-GB"/>
            </w:rPr>
            <w:t xml:space="preserve">its </w:t>
          </w:r>
          <w:r w:rsidR="00E307DF" w:rsidRPr="000D4A19">
            <w:rPr>
              <w:rFonts w:cstheme="minorHAnsi"/>
              <w:sz w:val="24"/>
              <w:szCs w:val="24"/>
              <w:lang w:val="en-GB"/>
            </w:rPr>
            <w:t xml:space="preserve">interlocutors. </w:t>
          </w:r>
          <w:r w:rsidR="002172A1" w:rsidRPr="000D4A19">
            <w:rPr>
              <w:rFonts w:cstheme="minorHAnsi"/>
              <w:sz w:val="24"/>
              <w:szCs w:val="24"/>
              <w:lang w:val="en-GB"/>
            </w:rPr>
            <w:t>On the one hand, i</w:t>
          </w:r>
          <w:r w:rsidR="00E307DF" w:rsidRPr="000D4A19">
            <w:rPr>
              <w:rFonts w:cstheme="minorHAnsi"/>
              <w:sz w:val="24"/>
              <w:szCs w:val="24"/>
              <w:lang w:val="en-GB"/>
            </w:rPr>
            <w:t xml:space="preserve">t was </w:t>
          </w:r>
          <w:r w:rsidR="002172A1" w:rsidRPr="000D4A19">
            <w:rPr>
              <w:rFonts w:cstheme="minorHAnsi"/>
              <w:sz w:val="24"/>
              <w:szCs w:val="24"/>
              <w:lang w:val="en-GB"/>
            </w:rPr>
            <w:t xml:space="preserve">generally </w:t>
          </w:r>
          <w:r w:rsidR="00E307DF" w:rsidRPr="000D4A19">
            <w:rPr>
              <w:rFonts w:cstheme="minorHAnsi"/>
              <w:sz w:val="24"/>
              <w:szCs w:val="24"/>
              <w:lang w:val="en-GB"/>
            </w:rPr>
            <w:t>acknowledged that in recent years the situation had improved</w:t>
          </w:r>
          <w:r w:rsidR="009D6995" w:rsidRPr="000D4A19">
            <w:rPr>
              <w:rFonts w:cstheme="minorHAnsi"/>
              <w:sz w:val="24"/>
              <w:szCs w:val="24"/>
              <w:lang w:val="en-GB"/>
            </w:rPr>
            <w:t>,</w:t>
          </w:r>
          <w:r w:rsidR="00E307DF" w:rsidRPr="000D4A19">
            <w:rPr>
              <w:rFonts w:cstheme="minorHAnsi"/>
              <w:sz w:val="24"/>
              <w:szCs w:val="24"/>
              <w:lang w:val="en-GB"/>
            </w:rPr>
            <w:t xml:space="preserve"> </w:t>
          </w:r>
          <w:r w:rsidR="002172A1" w:rsidRPr="000D4A19">
            <w:rPr>
              <w:rFonts w:cstheme="minorHAnsi"/>
              <w:sz w:val="24"/>
              <w:szCs w:val="24"/>
              <w:lang w:val="en-GB"/>
            </w:rPr>
            <w:t xml:space="preserve">in that </w:t>
          </w:r>
          <w:r w:rsidR="00E307DF" w:rsidRPr="000D4A19">
            <w:rPr>
              <w:rFonts w:cstheme="minorHAnsi"/>
              <w:sz w:val="24"/>
              <w:szCs w:val="24"/>
              <w:lang w:val="en-GB"/>
            </w:rPr>
            <w:t xml:space="preserve">at least the appointments of heads of police stations and heads of police </w:t>
          </w:r>
          <w:r w:rsidR="002172A1" w:rsidRPr="000D4A19">
            <w:rPr>
              <w:rFonts w:cstheme="minorHAnsi"/>
              <w:sz w:val="24"/>
              <w:szCs w:val="24"/>
              <w:lang w:val="en-GB"/>
            </w:rPr>
            <w:t>administration had become more transparent and merit-based (i</w:t>
          </w:r>
          <w:r w:rsidR="00F84D8D" w:rsidRPr="000D4A19">
            <w:rPr>
              <w:rFonts w:cstheme="minorHAnsi"/>
              <w:sz w:val="24"/>
              <w:szCs w:val="24"/>
              <w:lang w:val="en-GB"/>
            </w:rPr>
            <w:t>.</w:t>
          </w:r>
          <w:r w:rsidR="009D6995" w:rsidRPr="000D4A19">
            <w:rPr>
              <w:rFonts w:cstheme="minorHAnsi"/>
              <w:sz w:val="24"/>
              <w:szCs w:val="24"/>
              <w:lang w:val="en-GB"/>
            </w:rPr>
            <w:t>e</w:t>
          </w:r>
          <w:r w:rsidR="00F84D8D" w:rsidRPr="000D4A19">
            <w:rPr>
              <w:rFonts w:cstheme="minorHAnsi"/>
              <w:sz w:val="24"/>
              <w:szCs w:val="24"/>
              <w:lang w:val="en-GB"/>
            </w:rPr>
            <w:t>.</w:t>
          </w:r>
          <w:r w:rsidR="002172A1" w:rsidRPr="000D4A19">
            <w:rPr>
              <w:rFonts w:cstheme="minorHAnsi"/>
              <w:sz w:val="24"/>
              <w:szCs w:val="24"/>
              <w:lang w:val="en-GB"/>
            </w:rPr>
            <w:t xml:space="preserve"> these positions </w:t>
          </w:r>
          <w:r w:rsidR="00E307DF" w:rsidRPr="000D4A19">
            <w:rPr>
              <w:rFonts w:cstheme="minorHAnsi"/>
              <w:sz w:val="24"/>
              <w:szCs w:val="24"/>
              <w:lang w:val="en-GB"/>
            </w:rPr>
            <w:t xml:space="preserve">were now </w:t>
          </w:r>
          <w:r w:rsidR="002172A1" w:rsidRPr="000D4A19">
            <w:rPr>
              <w:rFonts w:cstheme="minorHAnsi"/>
              <w:sz w:val="24"/>
              <w:szCs w:val="24"/>
              <w:lang w:val="en-GB"/>
            </w:rPr>
            <w:t xml:space="preserve">filled </w:t>
          </w:r>
          <w:r w:rsidR="00E307DF" w:rsidRPr="000D4A19">
            <w:rPr>
              <w:rFonts w:cstheme="minorHAnsi"/>
              <w:sz w:val="24"/>
              <w:szCs w:val="24"/>
              <w:lang w:val="en-GB"/>
            </w:rPr>
            <w:t>following proposals by a commission, which also included trade unions, rather than through discretionary decisions of the police hierarchy</w:t>
          </w:r>
          <w:r w:rsidR="002144CF" w:rsidRPr="000D4A19">
            <w:rPr>
              <w:rFonts w:cstheme="minorHAnsi"/>
              <w:sz w:val="24"/>
              <w:szCs w:val="24"/>
              <w:lang w:val="en-GB"/>
            </w:rPr>
            <w:t xml:space="preserve">). On the other hand, it also heard that even if there was a good legal framework on paper, the practice was different, in that before the start of the proceedings it would already be clear who would get the job (with some interlocutors even speaking of nepotism in transfers, recruitment and promotions). </w:t>
          </w:r>
        </w:p>
        <w:p w14:paraId="52A2B57A" w14:textId="77777777" w:rsidR="00256C4A" w:rsidRPr="000D4A19" w:rsidRDefault="00256C4A" w:rsidP="00645C71">
          <w:pPr>
            <w:tabs>
              <w:tab w:val="left" w:pos="709"/>
              <w:tab w:val="num" w:pos="8222"/>
            </w:tabs>
            <w:spacing w:after="0" w:line="240" w:lineRule="auto"/>
            <w:jc w:val="both"/>
            <w:rPr>
              <w:rFonts w:cstheme="minorHAnsi"/>
              <w:sz w:val="24"/>
              <w:szCs w:val="24"/>
              <w:lang w:val="en-GB"/>
            </w:rPr>
          </w:pPr>
        </w:p>
        <w:p w14:paraId="2CC5E180" w14:textId="7D10DFA2" w:rsidR="0081420A" w:rsidRPr="009F0950" w:rsidRDefault="00256C4A" w:rsidP="009F0950">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During the on-site visit, the GET was told several times that </w:t>
          </w:r>
          <w:r w:rsidR="00EE5626" w:rsidRPr="000D4A19">
            <w:rPr>
              <w:rFonts w:cstheme="minorHAnsi"/>
              <w:sz w:val="24"/>
              <w:szCs w:val="24"/>
              <w:lang w:val="en-GB"/>
            </w:rPr>
            <w:t xml:space="preserve">the appointment of the </w:t>
          </w:r>
          <w:r w:rsidRPr="000D4A19">
            <w:rPr>
              <w:rFonts w:cstheme="minorHAnsi"/>
              <w:sz w:val="24"/>
              <w:szCs w:val="24"/>
              <w:lang w:val="en-GB"/>
            </w:rPr>
            <w:t>Director General was</w:t>
          </w:r>
          <w:r w:rsidR="00EE5626" w:rsidRPr="000D4A19">
            <w:rPr>
              <w:rFonts w:cstheme="minorHAnsi"/>
              <w:sz w:val="24"/>
              <w:szCs w:val="24"/>
              <w:lang w:val="en-GB"/>
            </w:rPr>
            <w:t xml:space="preserve"> a political decision, </w:t>
          </w:r>
          <w:r w:rsidR="00207F98" w:rsidRPr="000D4A19">
            <w:rPr>
              <w:rFonts w:cstheme="minorHAnsi"/>
              <w:sz w:val="24"/>
              <w:szCs w:val="24"/>
              <w:lang w:val="en-GB"/>
            </w:rPr>
            <w:t>which had a</w:t>
          </w:r>
          <w:r w:rsidR="00EE5626" w:rsidRPr="000D4A19">
            <w:rPr>
              <w:rFonts w:cstheme="minorHAnsi"/>
              <w:sz w:val="24"/>
              <w:szCs w:val="24"/>
              <w:lang w:val="en-GB"/>
            </w:rPr>
            <w:t xml:space="preserve"> direct bearing on the selection of </w:t>
          </w:r>
          <w:r w:rsidR="002144CF" w:rsidRPr="000D4A19">
            <w:rPr>
              <w:rFonts w:cstheme="minorHAnsi"/>
              <w:sz w:val="24"/>
              <w:szCs w:val="24"/>
              <w:lang w:val="en-GB"/>
            </w:rPr>
            <w:t>heads of police administrations and police stations</w:t>
          </w:r>
          <w:r w:rsidR="00814BF5" w:rsidRPr="000D4A19">
            <w:rPr>
              <w:rFonts w:cstheme="minorHAnsi"/>
              <w:sz w:val="24"/>
              <w:szCs w:val="24"/>
              <w:lang w:val="en-GB"/>
            </w:rPr>
            <w:t xml:space="preserve">. </w:t>
          </w:r>
          <w:r w:rsidR="00EE5626" w:rsidRPr="000D4A19">
            <w:rPr>
              <w:rFonts w:cstheme="minorHAnsi"/>
              <w:sz w:val="24"/>
              <w:szCs w:val="24"/>
              <w:lang w:val="en-GB"/>
            </w:rPr>
            <w:t>W</w:t>
          </w:r>
          <w:r w:rsidR="00905A15" w:rsidRPr="000D4A19">
            <w:rPr>
              <w:rFonts w:cstheme="minorHAnsi"/>
              <w:sz w:val="24"/>
              <w:szCs w:val="24"/>
              <w:lang w:val="en-GB"/>
            </w:rPr>
            <w:t>hile it cannot</w:t>
          </w:r>
          <w:r w:rsidR="005D2555" w:rsidRPr="000D4A19">
            <w:rPr>
              <w:rFonts w:cstheme="minorHAnsi"/>
              <w:sz w:val="24"/>
              <w:szCs w:val="24"/>
              <w:lang w:val="en-GB"/>
            </w:rPr>
            <w:t xml:space="preserve"> be ruled out that there are other considerations than merit and suitability for the position </w:t>
          </w:r>
          <w:r w:rsidR="003D7C8D" w:rsidRPr="000D4A19">
            <w:rPr>
              <w:rFonts w:cstheme="minorHAnsi"/>
              <w:sz w:val="24"/>
              <w:szCs w:val="24"/>
              <w:lang w:val="en-GB"/>
            </w:rPr>
            <w:t xml:space="preserve">at </w:t>
          </w:r>
          <w:r w:rsidR="00351175" w:rsidRPr="000D4A19">
            <w:rPr>
              <w:rFonts w:cstheme="minorHAnsi"/>
              <w:sz w:val="24"/>
              <w:szCs w:val="24"/>
              <w:lang w:val="en-GB"/>
            </w:rPr>
            <w:t xml:space="preserve">play </w:t>
          </w:r>
          <w:r w:rsidR="005D2555" w:rsidRPr="000D4A19">
            <w:rPr>
              <w:rFonts w:cstheme="minorHAnsi"/>
              <w:sz w:val="24"/>
              <w:szCs w:val="24"/>
              <w:lang w:val="en-GB"/>
            </w:rPr>
            <w:t xml:space="preserve">in the appointment process, the GET could not find any </w:t>
          </w:r>
          <w:r w:rsidR="005D2555" w:rsidRPr="000D4A19">
            <w:rPr>
              <w:rFonts w:cstheme="minorHAnsi"/>
              <w:i/>
              <w:sz w:val="24"/>
              <w:szCs w:val="24"/>
              <w:lang w:val="en-GB"/>
            </w:rPr>
            <w:t>prime facie</w:t>
          </w:r>
          <w:r w:rsidR="005D2555" w:rsidRPr="000D4A19">
            <w:rPr>
              <w:rFonts w:cstheme="minorHAnsi"/>
              <w:sz w:val="24"/>
              <w:szCs w:val="24"/>
              <w:lang w:val="en-GB"/>
            </w:rPr>
            <w:t xml:space="preserve"> evidence of this</w:t>
          </w:r>
          <w:r w:rsidR="00E421A8" w:rsidRPr="000D4A19">
            <w:rPr>
              <w:rFonts w:cstheme="minorHAnsi"/>
              <w:sz w:val="24"/>
              <w:szCs w:val="24"/>
              <w:lang w:val="en-GB"/>
            </w:rPr>
            <w:t xml:space="preserve"> by looking at the dates of appointment</w:t>
          </w:r>
          <w:r w:rsidR="00EE5626" w:rsidRPr="000D4A19">
            <w:rPr>
              <w:rFonts w:cstheme="minorHAnsi"/>
              <w:sz w:val="24"/>
              <w:szCs w:val="24"/>
              <w:lang w:val="en-GB"/>
            </w:rPr>
            <w:t xml:space="preserve"> of heads of police administrations and police stations</w:t>
          </w:r>
          <w:r w:rsidR="00E56295" w:rsidRPr="000D4A19">
            <w:rPr>
              <w:rFonts w:cstheme="minorHAnsi"/>
              <w:sz w:val="24"/>
              <w:szCs w:val="24"/>
              <w:lang w:val="en-GB"/>
            </w:rPr>
            <w:t xml:space="preserve">. </w:t>
          </w:r>
          <w:r w:rsidR="00CF3F9F" w:rsidRPr="000D4A19">
            <w:rPr>
              <w:rFonts w:eastAsia="Times New Roman"/>
              <w:sz w:val="24"/>
              <w:szCs w:val="24"/>
              <w:lang w:val="en-GB"/>
            </w:rPr>
            <w:t>The most recent appointments to these positions seem to simply follow the expiration of a five-year period of the previous appointment (even if the GET did note that most of these mandates expired around the same date)</w:t>
          </w:r>
          <w:r w:rsidRPr="000D4A19">
            <w:rPr>
              <w:rFonts w:cstheme="minorHAnsi"/>
              <w:sz w:val="24"/>
              <w:szCs w:val="24"/>
              <w:lang w:val="en-GB"/>
            </w:rPr>
            <w:t xml:space="preserve">. </w:t>
          </w:r>
          <w:r w:rsidR="005D2555" w:rsidRPr="000D4A19">
            <w:rPr>
              <w:rFonts w:cstheme="minorHAnsi"/>
              <w:sz w:val="24"/>
              <w:szCs w:val="24"/>
              <w:lang w:val="en-GB"/>
            </w:rPr>
            <w:t>However, as even the impression of “hand-picking</w:t>
          </w:r>
          <w:r w:rsidR="00EE5626" w:rsidRPr="000D4A19">
            <w:rPr>
              <w:rFonts w:cstheme="minorHAnsi"/>
              <w:sz w:val="24"/>
              <w:szCs w:val="24"/>
              <w:lang w:val="en-GB"/>
            </w:rPr>
            <w:t>”</w:t>
          </w:r>
          <w:r w:rsidR="005D2555" w:rsidRPr="000D4A19">
            <w:rPr>
              <w:rFonts w:cstheme="minorHAnsi"/>
              <w:sz w:val="24"/>
              <w:szCs w:val="24"/>
              <w:lang w:val="en-GB"/>
            </w:rPr>
            <w:t xml:space="preserve"> practices and favouritism is detrimental for the level of trust in the police, the GET </w:t>
          </w:r>
          <w:r w:rsidRPr="000D4A19">
            <w:rPr>
              <w:rFonts w:cstheme="minorHAnsi"/>
              <w:sz w:val="24"/>
              <w:szCs w:val="24"/>
              <w:lang w:val="en-GB"/>
            </w:rPr>
            <w:t xml:space="preserve">would welcome </w:t>
          </w:r>
          <w:r w:rsidR="006965D2" w:rsidRPr="000D4A19">
            <w:rPr>
              <w:rFonts w:cstheme="minorHAnsi"/>
              <w:sz w:val="24"/>
              <w:szCs w:val="24"/>
              <w:lang w:val="en-GB"/>
            </w:rPr>
            <w:t>that</w:t>
          </w:r>
          <w:r w:rsidRPr="000D4A19">
            <w:rPr>
              <w:rFonts w:cstheme="minorHAnsi"/>
              <w:sz w:val="24"/>
              <w:szCs w:val="24"/>
              <w:lang w:val="en-GB"/>
            </w:rPr>
            <w:t xml:space="preserve"> </w:t>
          </w:r>
          <w:r w:rsidR="005D2555" w:rsidRPr="000D4A19">
            <w:rPr>
              <w:rFonts w:cstheme="minorHAnsi"/>
              <w:sz w:val="24"/>
              <w:szCs w:val="24"/>
              <w:lang w:val="en-GB"/>
            </w:rPr>
            <w:t>the Croatian authorities review the current recruitment and promotion processes to identify opportunities to improve this process</w:t>
          </w:r>
          <w:r w:rsidR="00C83A72">
            <w:rPr>
              <w:rFonts w:cstheme="minorHAnsi"/>
              <w:sz w:val="24"/>
              <w:szCs w:val="24"/>
              <w:lang w:val="en-GB"/>
            </w:rPr>
            <w:t xml:space="preserve"> (beyond the recent changes to have heads of police stations appointed for an indeterminate period of time)</w:t>
          </w:r>
          <w:r w:rsidR="005D2555" w:rsidRPr="000D4A19">
            <w:rPr>
              <w:rFonts w:cstheme="minorHAnsi"/>
              <w:sz w:val="24"/>
              <w:szCs w:val="24"/>
              <w:lang w:val="en-GB"/>
            </w:rPr>
            <w:t xml:space="preserve">, to address </w:t>
          </w:r>
          <w:r w:rsidR="00EE7027" w:rsidRPr="000D4A19">
            <w:rPr>
              <w:rFonts w:cstheme="minorHAnsi"/>
              <w:sz w:val="24"/>
              <w:szCs w:val="24"/>
              <w:lang w:val="en-GB"/>
            </w:rPr>
            <w:t xml:space="preserve">any </w:t>
          </w:r>
          <w:r w:rsidR="005D2555" w:rsidRPr="000D4A19">
            <w:rPr>
              <w:rFonts w:cstheme="minorHAnsi"/>
              <w:sz w:val="24"/>
              <w:szCs w:val="24"/>
              <w:lang w:val="en-GB"/>
            </w:rPr>
            <w:t xml:space="preserve">concerns </w:t>
          </w:r>
          <w:r w:rsidR="00AD0472" w:rsidRPr="000D4A19">
            <w:rPr>
              <w:rFonts w:cstheme="minorHAnsi"/>
              <w:sz w:val="24"/>
              <w:szCs w:val="24"/>
              <w:lang w:val="en-GB"/>
            </w:rPr>
            <w:t xml:space="preserve">about the lack of </w:t>
          </w:r>
          <w:r w:rsidR="005D2555" w:rsidRPr="000D4A19">
            <w:rPr>
              <w:rFonts w:cstheme="minorHAnsi"/>
              <w:sz w:val="24"/>
              <w:szCs w:val="24"/>
              <w:lang w:val="en-GB"/>
            </w:rPr>
            <w:t xml:space="preserve">objectivity and </w:t>
          </w:r>
          <w:r w:rsidR="00AD0472" w:rsidRPr="000D4A19">
            <w:rPr>
              <w:rFonts w:cstheme="minorHAnsi"/>
              <w:sz w:val="24"/>
              <w:szCs w:val="24"/>
              <w:lang w:val="en-GB"/>
            </w:rPr>
            <w:t>transparency therein</w:t>
          </w:r>
          <w:r w:rsidR="00EE5626" w:rsidRPr="000D4A19">
            <w:rPr>
              <w:rFonts w:cstheme="minorHAnsi"/>
              <w:sz w:val="24"/>
              <w:szCs w:val="24"/>
              <w:lang w:val="en-GB"/>
            </w:rPr>
            <w:t xml:space="preserve">, including as regards the process of appointing the Director General, </w:t>
          </w:r>
          <w:r w:rsidR="00207F98" w:rsidRPr="000D4A19">
            <w:rPr>
              <w:rFonts w:cstheme="minorHAnsi"/>
              <w:sz w:val="24"/>
              <w:szCs w:val="24"/>
              <w:lang w:val="en-GB"/>
            </w:rPr>
            <w:t>his/her</w:t>
          </w:r>
          <w:r w:rsidR="00EE5626" w:rsidRPr="000D4A19">
            <w:rPr>
              <w:rFonts w:cstheme="minorHAnsi"/>
              <w:sz w:val="24"/>
              <w:szCs w:val="24"/>
              <w:lang w:val="en-GB"/>
            </w:rPr>
            <w:t xml:space="preserve"> Deputy and Assistant</w:t>
          </w:r>
          <w:r w:rsidR="00AD0472" w:rsidRPr="000D4A19">
            <w:rPr>
              <w:rFonts w:cstheme="minorHAnsi"/>
              <w:sz w:val="24"/>
              <w:szCs w:val="24"/>
              <w:lang w:val="en-GB"/>
            </w:rPr>
            <w:t xml:space="preserve">. </w:t>
          </w:r>
          <w:r w:rsidR="004E1FDB">
            <w:rPr>
              <w:rFonts w:cstheme="minorHAnsi"/>
              <w:sz w:val="24"/>
              <w:szCs w:val="24"/>
              <w:lang w:val="en-GB"/>
            </w:rPr>
            <w:t>Notwithstanding indications that the number of women in the police is slowly on the rise, i</w:t>
          </w:r>
          <w:r w:rsidR="00351175" w:rsidRPr="000D4A19">
            <w:rPr>
              <w:rFonts w:cstheme="minorHAnsi"/>
              <w:sz w:val="24"/>
              <w:szCs w:val="24"/>
              <w:lang w:val="en-GB"/>
            </w:rPr>
            <w:t xml:space="preserve">t would be helpful if such a review would also look at opportunities for </w:t>
          </w:r>
          <w:r w:rsidR="00C83A72">
            <w:rPr>
              <w:rFonts w:cstheme="minorHAnsi"/>
              <w:sz w:val="24"/>
              <w:szCs w:val="24"/>
              <w:lang w:val="en-GB"/>
            </w:rPr>
            <w:t xml:space="preserve">having women better represented </w:t>
          </w:r>
          <w:r w:rsidR="00351175" w:rsidRPr="000D4A19">
            <w:rPr>
              <w:rFonts w:cstheme="minorHAnsi"/>
              <w:sz w:val="24"/>
              <w:szCs w:val="24"/>
              <w:lang w:val="en-GB"/>
            </w:rPr>
            <w:t>in</w:t>
          </w:r>
          <w:r w:rsidR="00C83A72">
            <w:rPr>
              <w:rFonts w:cstheme="minorHAnsi"/>
              <w:sz w:val="24"/>
              <w:szCs w:val="24"/>
              <w:lang w:val="en-GB"/>
            </w:rPr>
            <w:t xml:space="preserve"> </w:t>
          </w:r>
          <w:r w:rsidR="00351175" w:rsidRPr="000D4A19">
            <w:rPr>
              <w:rFonts w:cstheme="minorHAnsi"/>
              <w:sz w:val="24"/>
              <w:szCs w:val="24"/>
              <w:lang w:val="en-GB"/>
            </w:rPr>
            <w:t>the poli</w:t>
          </w:r>
          <w:r w:rsidR="00EE7027" w:rsidRPr="000D4A19">
            <w:rPr>
              <w:rFonts w:cstheme="minorHAnsi"/>
              <w:sz w:val="24"/>
              <w:szCs w:val="24"/>
              <w:lang w:val="en-GB"/>
            </w:rPr>
            <w:t>ce force, given their relative under</w:t>
          </w:r>
          <w:r w:rsidR="00526266" w:rsidRPr="000D4A19">
            <w:rPr>
              <w:rFonts w:cstheme="minorHAnsi"/>
              <w:sz w:val="24"/>
              <w:szCs w:val="24"/>
              <w:lang w:val="en-GB"/>
            </w:rPr>
            <w:t>-</w:t>
          </w:r>
          <w:r w:rsidR="00351175" w:rsidRPr="000D4A19">
            <w:rPr>
              <w:rFonts w:cstheme="minorHAnsi"/>
              <w:sz w:val="24"/>
              <w:szCs w:val="24"/>
              <w:lang w:val="en-GB"/>
            </w:rPr>
            <w:t>representation among police officers</w:t>
          </w:r>
          <w:r w:rsidR="009F0950">
            <w:rPr>
              <w:rFonts w:cstheme="minorHAnsi"/>
              <w:sz w:val="24"/>
              <w:szCs w:val="24"/>
              <w:lang w:val="en-GB"/>
            </w:rPr>
            <w:t xml:space="preserve"> at all levels</w:t>
          </w:r>
          <w:r w:rsidR="00AD0472" w:rsidRPr="000D4A19">
            <w:rPr>
              <w:rFonts w:cstheme="minorHAnsi"/>
              <w:sz w:val="24"/>
              <w:szCs w:val="24"/>
              <w:lang w:val="en-GB"/>
            </w:rPr>
            <w:t>.</w:t>
          </w:r>
          <w:r w:rsidR="004E1FDB">
            <w:rPr>
              <w:rStyle w:val="Referencafusnote"/>
              <w:rFonts w:cstheme="minorHAnsi"/>
              <w:sz w:val="24"/>
              <w:szCs w:val="24"/>
              <w:lang w:val="en-GB"/>
            </w:rPr>
            <w:footnoteReference w:id="63"/>
          </w:r>
          <w:r w:rsidR="009F0950">
            <w:rPr>
              <w:rFonts w:cstheme="minorHAnsi"/>
              <w:sz w:val="24"/>
              <w:szCs w:val="24"/>
              <w:lang w:val="en-GB"/>
            </w:rPr>
            <w:t xml:space="preserve"> </w:t>
          </w:r>
          <w:r w:rsidRPr="009F0950">
            <w:rPr>
              <w:rFonts w:cstheme="minorHAnsi"/>
              <w:sz w:val="24"/>
              <w:szCs w:val="24"/>
              <w:lang w:val="en-GB"/>
            </w:rPr>
            <w:t xml:space="preserve">Therefore, </w:t>
          </w:r>
          <w:r w:rsidRPr="009F0950">
            <w:rPr>
              <w:rFonts w:cstheme="minorHAnsi"/>
              <w:b/>
              <w:sz w:val="24"/>
              <w:szCs w:val="24"/>
              <w:lang w:val="en-GB"/>
            </w:rPr>
            <w:t>GRECO recommends</w:t>
          </w:r>
          <w:r w:rsidR="004C5340" w:rsidRPr="009F0950">
            <w:rPr>
              <w:rFonts w:cstheme="minorHAnsi"/>
              <w:sz w:val="24"/>
              <w:szCs w:val="24"/>
              <w:lang w:val="en-GB"/>
            </w:rPr>
            <w:t xml:space="preserve"> </w:t>
          </w:r>
          <w:bookmarkStart w:id="179" w:name="_Hlk26535955"/>
          <w:bookmarkStart w:id="180" w:name="_Hlk22745774"/>
          <w:r w:rsidR="004C5340" w:rsidRPr="009F0950">
            <w:rPr>
              <w:rFonts w:cstheme="minorHAnsi"/>
              <w:b/>
              <w:sz w:val="24"/>
              <w:szCs w:val="24"/>
              <w:lang w:val="en-GB"/>
            </w:rPr>
            <w:t>that possibilities to further improve the current appointment and promotion processes within the police be explored, with a view to improving the objectivity and transparency of decisions, paying particular attention to the representation of women in the police at all levels</w:t>
          </w:r>
          <w:bookmarkEnd w:id="179"/>
          <w:r w:rsidR="004C5340" w:rsidRPr="009F0950">
            <w:rPr>
              <w:rFonts w:cstheme="minorHAnsi"/>
              <w:b/>
              <w:sz w:val="24"/>
              <w:szCs w:val="24"/>
              <w:lang w:val="en-GB"/>
            </w:rPr>
            <w:t>.</w:t>
          </w:r>
          <w:r w:rsidR="004C5340" w:rsidRPr="009F0950">
            <w:rPr>
              <w:rFonts w:cstheme="minorHAnsi"/>
              <w:sz w:val="24"/>
              <w:szCs w:val="24"/>
              <w:lang w:val="en-GB"/>
            </w:rPr>
            <w:t xml:space="preserve">  </w:t>
          </w:r>
          <w:bookmarkEnd w:id="180"/>
        </w:p>
        <w:p w14:paraId="2D8C4B29" w14:textId="77777777" w:rsidR="00E307DF" w:rsidRPr="000D4A19" w:rsidRDefault="00E307DF" w:rsidP="004B7CAB">
          <w:pPr>
            <w:spacing w:after="0" w:line="240" w:lineRule="auto"/>
            <w:jc w:val="both"/>
            <w:rPr>
              <w:rFonts w:cstheme="minorHAnsi"/>
              <w:sz w:val="24"/>
              <w:szCs w:val="24"/>
              <w:lang w:val="en-GB"/>
            </w:rPr>
          </w:pPr>
        </w:p>
        <w:p w14:paraId="3BA9BE25"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181" w:name="_Toc4762886"/>
          <w:bookmarkStart w:id="182" w:name="_Toc25229332"/>
          <w:bookmarkStart w:id="183" w:name="_Toc484088348"/>
          <w:bookmarkEnd w:id="175"/>
          <w:bookmarkEnd w:id="176"/>
          <w:r w:rsidRPr="000D4A19">
            <w:rPr>
              <w:rFonts w:asciiTheme="minorHAnsi" w:hAnsiTheme="minorHAnsi"/>
              <w:b w:val="0"/>
              <w:i/>
              <w:color w:val="auto"/>
              <w:sz w:val="24"/>
              <w:szCs w:val="24"/>
              <w:lang w:val="en-GB"/>
            </w:rPr>
            <w:t>Rotation</w:t>
          </w:r>
          <w:bookmarkEnd w:id="181"/>
          <w:bookmarkEnd w:id="182"/>
        </w:p>
        <w:bookmarkEnd w:id="183"/>
        <w:p w14:paraId="79F0594B" w14:textId="77777777" w:rsidR="009919AC" w:rsidRPr="000D4A19" w:rsidRDefault="009919AC" w:rsidP="004B7CAB">
          <w:pPr>
            <w:spacing w:after="0" w:line="240" w:lineRule="auto"/>
            <w:jc w:val="both"/>
            <w:rPr>
              <w:rFonts w:cstheme="minorHAnsi"/>
              <w:sz w:val="24"/>
              <w:szCs w:val="24"/>
              <w:lang w:val="en-GB"/>
            </w:rPr>
          </w:pPr>
        </w:p>
        <w:p w14:paraId="149E99DF" w14:textId="55F80ADA" w:rsidR="009919AC" w:rsidRPr="000D4A19" w:rsidRDefault="003D7C8D" w:rsidP="003D7C8D">
          <w:pPr>
            <w:numPr>
              <w:ilvl w:val="0"/>
              <w:numId w:val="1"/>
            </w:numPr>
            <w:tabs>
              <w:tab w:val="left" w:pos="720"/>
              <w:tab w:val="num" w:pos="1557"/>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As indicated above, a system of regular rotation is in place for </w:t>
          </w:r>
          <w:r w:rsidR="009919AC" w:rsidRPr="000D4A19">
            <w:rPr>
              <w:rFonts w:cstheme="minorHAnsi"/>
              <w:sz w:val="24"/>
              <w:szCs w:val="24"/>
              <w:lang w:val="en-GB"/>
            </w:rPr>
            <w:t xml:space="preserve">border guards </w:t>
          </w:r>
          <w:r w:rsidRPr="000D4A19">
            <w:rPr>
              <w:rFonts w:cstheme="minorHAnsi"/>
              <w:sz w:val="24"/>
              <w:szCs w:val="24"/>
              <w:lang w:val="en-GB"/>
            </w:rPr>
            <w:t>within the poli</w:t>
          </w:r>
          <w:r w:rsidR="00CF3F9F" w:rsidRPr="000D4A19">
            <w:rPr>
              <w:rFonts w:cstheme="minorHAnsi"/>
              <w:sz w:val="24"/>
              <w:szCs w:val="24"/>
              <w:lang w:val="en-GB"/>
            </w:rPr>
            <w:t>c</w:t>
          </w:r>
          <w:r w:rsidRPr="000D4A19">
            <w:rPr>
              <w:rFonts w:cstheme="minorHAnsi"/>
              <w:sz w:val="24"/>
              <w:szCs w:val="24"/>
              <w:lang w:val="en-GB"/>
            </w:rPr>
            <w:t xml:space="preserve">e: they </w:t>
          </w:r>
          <w:r w:rsidR="009919AC" w:rsidRPr="000D4A19">
            <w:rPr>
              <w:rFonts w:cstheme="minorHAnsi"/>
              <w:sz w:val="24"/>
              <w:szCs w:val="24"/>
              <w:lang w:val="en-GB"/>
            </w:rPr>
            <w:t xml:space="preserve">can suddenly be rotated or have the border crossing they are required to guard changed, </w:t>
          </w:r>
          <w:r w:rsidR="00811DB3" w:rsidRPr="000D4A19">
            <w:rPr>
              <w:rFonts w:cstheme="minorHAnsi"/>
              <w:sz w:val="24"/>
              <w:szCs w:val="24"/>
              <w:lang w:val="en-GB"/>
            </w:rPr>
            <w:t>even within the same work shift. This practice of rotation is one of the main measures of the anti-corruption plan specifically adopted for the border police. The GET was told that</w:t>
          </w:r>
          <w:r w:rsidR="00351175" w:rsidRPr="000D4A19">
            <w:rPr>
              <w:rFonts w:cstheme="minorHAnsi"/>
              <w:sz w:val="24"/>
              <w:szCs w:val="24"/>
              <w:lang w:val="en-GB"/>
            </w:rPr>
            <w:t>,</w:t>
          </w:r>
          <w:r w:rsidR="00811DB3" w:rsidRPr="000D4A19">
            <w:rPr>
              <w:rFonts w:cstheme="minorHAnsi"/>
              <w:sz w:val="24"/>
              <w:szCs w:val="24"/>
              <w:lang w:val="en-GB"/>
            </w:rPr>
            <w:t xml:space="preserve"> in 2018</w:t>
          </w:r>
          <w:r w:rsidR="00351175" w:rsidRPr="000D4A19">
            <w:rPr>
              <w:rFonts w:cstheme="minorHAnsi"/>
              <w:sz w:val="24"/>
              <w:szCs w:val="24"/>
              <w:lang w:val="en-GB"/>
            </w:rPr>
            <w:t>,</w:t>
          </w:r>
          <w:r w:rsidR="00811DB3" w:rsidRPr="000D4A19">
            <w:rPr>
              <w:rFonts w:cstheme="minorHAnsi"/>
              <w:sz w:val="24"/>
              <w:szCs w:val="24"/>
              <w:lang w:val="en-GB"/>
            </w:rPr>
            <w:t xml:space="preserve"> 426</w:t>
          </w:r>
          <w:r w:rsidR="00526266" w:rsidRPr="000D4A19">
            <w:rPr>
              <w:rFonts w:cstheme="minorHAnsi"/>
              <w:sz w:val="24"/>
              <w:szCs w:val="24"/>
              <w:lang w:val="en-GB"/>
            </w:rPr>
            <w:t xml:space="preserve"> </w:t>
          </w:r>
          <w:r w:rsidR="00811DB3" w:rsidRPr="000D4A19">
            <w:rPr>
              <w:rFonts w:cstheme="minorHAnsi"/>
              <w:sz w:val="24"/>
              <w:szCs w:val="24"/>
              <w:lang w:val="en-GB"/>
            </w:rPr>
            <w:t>134 rotations</w:t>
          </w:r>
          <w:r w:rsidR="00351175" w:rsidRPr="000D4A19">
            <w:rPr>
              <w:rFonts w:cstheme="minorHAnsi"/>
              <w:sz w:val="24"/>
              <w:szCs w:val="24"/>
              <w:lang w:val="en-GB"/>
            </w:rPr>
            <w:t xml:space="preserve"> took place</w:t>
          </w:r>
          <w:r w:rsidR="00811DB3" w:rsidRPr="000D4A19">
            <w:rPr>
              <w:rFonts w:cstheme="minorHAnsi"/>
              <w:sz w:val="24"/>
              <w:szCs w:val="24"/>
              <w:lang w:val="en-GB"/>
            </w:rPr>
            <w:t>. Usually, the head of a certain shift would decide where the rotation</w:t>
          </w:r>
          <w:r w:rsidR="00351175" w:rsidRPr="000D4A19">
            <w:rPr>
              <w:rFonts w:cstheme="minorHAnsi"/>
              <w:sz w:val="24"/>
              <w:szCs w:val="24"/>
              <w:lang w:val="en-GB"/>
            </w:rPr>
            <w:t xml:space="preserve"> be carried out</w:t>
          </w:r>
          <w:r w:rsidR="00811DB3" w:rsidRPr="000D4A19">
            <w:rPr>
              <w:rFonts w:cstheme="minorHAnsi"/>
              <w:sz w:val="24"/>
              <w:szCs w:val="24"/>
              <w:lang w:val="en-GB"/>
            </w:rPr>
            <w:t xml:space="preserve">, with the aim of making this as unpredictable as possible (with the </w:t>
          </w:r>
          <w:r w:rsidR="00351175" w:rsidRPr="000D4A19">
            <w:rPr>
              <w:rFonts w:cstheme="minorHAnsi"/>
              <w:sz w:val="24"/>
              <w:szCs w:val="24"/>
              <w:lang w:val="en-GB"/>
            </w:rPr>
            <w:t xml:space="preserve">possible </w:t>
          </w:r>
          <w:r w:rsidR="00811DB3" w:rsidRPr="000D4A19">
            <w:rPr>
              <w:rFonts w:cstheme="minorHAnsi"/>
              <w:sz w:val="24"/>
              <w:szCs w:val="24"/>
              <w:lang w:val="en-GB"/>
            </w:rPr>
            <w:t xml:space="preserve">exception of airports, where it was not so easy to rotate to another border crossing). </w:t>
          </w:r>
          <w:r w:rsidR="009919AC" w:rsidRPr="000D4A19">
            <w:rPr>
              <w:rFonts w:cstheme="minorHAnsi"/>
              <w:sz w:val="24"/>
              <w:szCs w:val="24"/>
              <w:lang w:val="en-GB"/>
            </w:rPr>
            <w:t>Monthly reports on the conducted rotations are submitted to the Border Police Directorate.</w:t>
          </w:r>
        </w:p>
        <w:p w14:paraId="2381AACC" w14:textId="77777777" w:rsidR="009919AC" w:rsidRPr="000D4A19" w:rsidRDefault="009919AC" w:rsidP="004B7CAB">
          <w:pPr>
            <w:spacing w:after="0" w:line="240" w:lineRule="auto"/>
            <w:jc w:val="both"/>
            <w:rPr>
              <w:rFonts w:cstheme="minorHAnsi"/>
              <w:sz w:val="24"/>
              <w:szCs w:val="24"/>
              <w:lang w:val="en-GB"/>
            </w:rPr>
          </w:pPr>
        </w:p>
        <w:p w14:paraId="40822316"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184" w:name="_Toc4762887"/>
          <w:bookmarkStart w:id="185" w:name="_Toc25229333"/>
          <w:bookmarkStart w:id="186" w:name="_Toc342554308"/>
          <w:bookmarkStart w:id="187" w:name="_Toc342640983"/>
          <w:bookmarkStart w:id="188" w:name="_Toc484088350"/>
          <w:r w:rsidRPr="000D4A19">
            <w:rPr>
              <w:rFonts w:asciiTheme="minorHAnsi" w:hAnsiTheme="minorHAnsi"/>
              <w:b w:val="0"/>
              <w:i/>
              <w:color w:val="auto"/>
              <w:sz w:val="24"/>
              <w:szCs w:val="24"/>
              <w:lang w:val="en-GB"/>
            </w:rPr>
            <w:t>Salaries and benefits</w:t>
          </w:r>
          <w:bookmarkEnd w:id="184"/>
          <w:bookmarkEnd w:id="185"/>
        </w:p>
        <w:bookmarkEnd w:id="186"/>
        <w:bookmarkEnd w:id="187"/>
        <w:bookmarkEnd w:id="188"/>
        <w:p w14:paraId="5B88C7B3" w14:textId="77777777" w:rsidR="009919AC" w:rsidRPr="000D4A19" w:rsidRDefault="009919AC" w:rsidP="004B7CAB">
          <w:pPr>
            <w:spacing w:after="0" w:line="240" w:lineRule="auto"/>
            <w:jc w:val="both"/>
            <w:rPr>
              <w:rFonts w:cstheme="minorHAnsi"/>
              <w:b/>
              <w:sz w:val="24"/>
              <w:szCs w:val="24"/>
              <w:u w:val="single"/>
              <w:lang w:val="en-GB"/>
            </w:rPr>
          </w:pPr>
        </w:p>
        <w:p w14:paraId="29620D86" w14:textId="77777777"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ascii="Calibri" w:eastAsiaTheme="majorEastAsia" w:hAnsi="Calibri" w:cstheme="majorBidi"/>
              <w:bCs/>
              <w:sz w:val="24"/>
              <w:szCs w:val="24"/>
              <w:lang w:val="en-GB"/>
            </w:rPr>
            <w:t xml:space="preserve">Gross annual salaries in the police are the following </w:t>
          </w:r>
        </w:p>
        <w:p w14:paraId="31AD8BF2" w14:textId="77777777" w:rsidR="009919AC" w:rsidRPr="000D4A19" w:rsidRDefault="009919AC" w:rsidP="004B7CAB">
          <w:pPr>
            <w:spacing w:after="0" w:line="240" w:lineRule="auto"/>
            <w:jc w:val="both"/>
            <w:rPr>
              <w:rFonts w:cstheme="minorHAnsi"/>
              <w:sz w:val="24"/>
              <w:szCs w:val="24"/>
              <w:lang w:val="en-GB"/>
            </w:rPr>
          </w:pPr>
        </w:p>
        <w:tbl>
          <w:tblPr>
            <w:tblStyle w:val="Reetkatablice"/>
            <w:tblW w:w="0" w:type="auto"/>
            <w:tblInd w:w="675" w:type="dxa"/>
            <w:tblLook w:val="04A0" w:firstRow="1" w:lastRow="0" w:firstColumn="1" w:lastColumn="0" w:noHBand="0" w:noVBand="1"/>
          </w:tblPr>
          <w:tblGrid>
            <w:gridCol w:w="4962"/>
            <w:gridCol w:w="1417"/>
            <w:gridCol w:w="1418"/>
          </w:tblGrid>
          <w:tr w:rsidR="009919AC" w:rsidRPr="000D4A19" w14:paraId="0A5D1E95" w14:textId="77777777" w:rsidTr="009919AC">
            <w:tc>
              <w:tcPr>
                <w:tcW w:w="4962" w:type="dxa"/>
                <w:vMerge w:val="restart"/>
                <w:shd w:val="pct15" w:color="auto" w:fill="auto"/>
              </w:tcPr>
              <w:p w14:paraId="69DE9A94" w14:textId="77777777" w:rsidR="009919AC" w:rsidRPr="000D4A19" w:rsidRDefault="009919AC" w:rsidP="004B7CAB">
                <w:pPr>
                  <w:rPr>
                    <w:rFonts w:cstheme="minorHAnsi"/>
                    <w:b/>
                    <w:sz w:val="20"/>
                    <w:szCs w:val="20"/>
                    <w:lang w:val="en-GB"/>
                  </w:rPr>
                </w:pPr>
                <w:r w:rsidRPr="000D4A19">
                  <w:rPr>
                    <w:rFonts w:cstheme="minorHAnsi"/>
                    <w:b/>
                    <w:sz w:val="20"/>
                    <w:szCs w:val="20"/>
                    <w:lang w:val="en-GB"/>
                  </w:rPr>
                  <w:t>Categories</w:t>
                </w:r>
              </w:p>
            </w:tc>
            <w:tc>
              <w:tcPr>
                <w:tcW w:w="2835" w:type="dxa"/>
                <w:gridSpan w:val="2"/>
                <w:shd w:val="pct15" w:color="auto" w:fill="auto"/>
              </w:tcPr>
              <w:p w14:paraId="1BDD0D8A" w14:textId="77777777" w:rsidR="009919AC" w:rsidRPr="000D4A19" w:rsidRDefault="009919AC" w:rsidP="004B7CAB">
                <w:pPr>
                  <w:jc w:val="center"/>
                  <w:rPr>
                    <w:rFonts w:cstheme="minorHAnsi"/>
                    <w:b/>
                    <w:sz w:val="20"/>
                    <w:szCs w:val="20"/>
                    <w:lang w:val="en-GB"/>
                  </w:rPr>
                </w:pPr>
                <w:r w:rsidRPr="000D4A19">
                  <w:rPr>
                    <w:rFonts w:cstheme="minorHAnsi"/>
                    <w:b/>
                    <w:sz w:val="20"/>
                    <w:szCs w:val="20"/>
                    <w:lang w:val="en-GB"/>
                  </w:rPr>
                  <w:t>Gross annual salaries</w:t>
                </w:r>
              </w:p>
            </w:tc>
          </w:tr>
          <w:tr w:rsidR="009919AC" w:rsidRPr="000D4A19" w14:paraId="2CD862B1" w14:textId="77777777" w:rsidTr="009919AC">
            <w:tc>
              <w:tcPr>
                <w:tcW w:w="4962" w:type="dxa"/>
                <w:vMerge/>
                <w:shd w:val="pct15" w:color="auto" w:fill="auto"/>
              </w:tcPr>
              <w:p w14:paraId="316AFD7E" w14:textId="77777777" w:rsidR="009919AC" w:rsidRPr="000D4A19" w:rsidRDefault="009919AC" w:rsidP="004B7CAB">
                <w:pPr>
                  <w:rPr>
                    <w:rFonts w:cstheme="minorHAnsi"/>
                    <w:b/>
                    <w:sz w:val="20"/>
                    <w:szCs w:val="20"/>
                    <w:lang w:val="en-GB"/>
                  </w:rPr>
                </w:pPr>
              </w:p>
            </w:tc>
            <w:tc>
              <w:tcPr>
                <w:tcW w:w="1417" w:type="dxa"/>
                <w:shd w:val="pct15" w:color="auto" w:fill="auto"/>
              </w:tcPr>
              <w:p w14:paraId="708B8990" w14:textId="77777777" w:rsidR="009919AC" w:rsidRPr="000D4A19" w:rsidRDefault="009919AC" w:rsidP="004B7CAB">
                <w:pPr>
                  <w:jc w:val="right"/>
                  <w:rPr>
                    <w:rFonts w:cstheme="minorHAnsi"/>
                    <w:sz w:val="20"/>
                    <w:szCs w:val="20"/>
                    <w:lang w:val="en-GB"/>
                  </w:rPr>
                </w:pPr>
                <w:r w:rsidRPr="000D4A19">
                  <w:rPr>
                    <w:rFonts w:cstheme="minorHAnsi"/>
                    <w:sz w:val="20"/>
                    <w:szCs w:val="20"/>
                    <w:lang w:val="en-GB"/>
                  </w:rPr>
                  <w:t>HRK</w:t>
                </w:r>
              </w:p>
            </w:tc>
            <w:tc>
              <w:tcPr>
                <w:tcW w:w="1418" w:type="dxa"/>
                <w:shd w:val="pct15" w:color="auto" w:fill="auto"/>
              </w:tcPr>
              <w:p w14:paraId="34293B65" w14:textId="77777777" w:rsidR="009919AC" w:rsidRPr="000D4A19" w:rsidRDefault="009919AC" w:rsidP="004B7CAB">
                <w:pPr>
                  <w:jc w:val="right"/>
                  <w:rPr>
                    <w:rFonts w:cstheme="minorHAnsi"/>
                    <w:sz w:val="20"/>
                    <w:szCs w:val="20"/>
                    <w:lang w:val="en-GB"/>
                  </w:rPr>
                </w:pPr>
                <w:r w:rsidRPr="000D4A19">
                  <w:rPr>
                    <w:rFonts w:cstheme="minorHAnsi"/>
                    <w:sz w:val="20"/>
                    <w:szCs w:val="20"/>
                    <w:lang w:val="en-GB"/>
                  </w:rPr>
                  <w:t>EUR</w:t>
                </w:r>
              </w:p>
            </w:tc>
          </w:tr>
          <w:tr w:rsidR="009919AC" w:rsidRPr="000D4A19" w14:paraId="37248B30" w14:textId="77777777" w:rsidTr="009919AC">
            <w:tc>
              <w:tcPr>
                <w:tcW w:w="4962" w:type="dxa"/>
              </w:tcPr>
              <w:p w14:paraId="044EE158" w14:textId="77777777" w:rsidR="009919AC" w:rsidRPr="000D4A19" w:rsidRDefault="009919AC" w:rsidP="004B7CAB">
                <w:pPr>
                  <w:rPr>
                    <w:rFonts w:cstheme="minorHAnsi"/>
                    <w:sz w:val="20"/>
                    <w:szCs w:val="20"/>
                    <w:lang w:val="en-GB"/>
                  </w:rPr>
                </w:pPr>
                <w:r w:rsidRPr="000D4A19">
                  <w:rPr>
                    <w:rFonts w:cstheme="minorHAnsi"/>
                    <w:sz w:val="20"/>
                    <w:szCs w:val="20"/>
                    <w:lang w:val="en-GB"/>
                  </w:rPr>
                  <w:t>Police officer at the beginning of his/her career</w:t>
                </w:r>
              </w:p>
            </w:tc>
            <w:tc>
              <w:tcPr>
                <w:tcW w:w="1417" w:type="dxa"/>
              </w:tcPr>
              <w:p w14:paraId="6127938E" w14:textId="77777777" w:rsidR="009919AC" w:rsidRPr="000D4A19" w:rsidRDefault="009919AC" w:rsidP="004B7CAB">
                <w:pPr>
                  <w:jc w:val="right"/>
                  <w:rPr>
                    <w:rFonts w:cstheme="minorHAnsi"/>
                    <w:sz w:val="20"/>
                    <w:szCs w:val="20"/>
                    <w:lang w:val="en-GB"/>
                  </w:rPr>
                </w:pPr>
                <w:r w:rsidRPr="000D4A19">
                  <w:rPr>
                    <w:rFonts w:cstheme="minorHAnsi"/>
                    <w:sz w:val="20"/>
                    <w:szCs w:val="20"/>
                    <w:lang w:val="en-GB"/>
                  </w:rPr>
                  <w:t>66.360</w:t>
                </w:r>
              </w:p>
            </w:tc>
            <w:tc>
              <w:tcPr>
                <w:tcW w:w="1418" w:type="dxa"/>
              </w:tcPr>
              <w:p w14:paraId="46549D54" w14:textId="77777777" w:rsidR="009919AC" w:rsidRPr="000D4A19" w:rsidRDefault="009919AC" w:rsidP="004B7CAB">
                <w:pPr>
                  <w:jc w:val="right"/>
                  <w:rPr>
                    <w:rFonts w:cstheme="minorHAnsi"/>
                    <w:sz w:val="20"/>
                    <w:szCs w:val="20"/>
                    <w:lang w:val="en-GB"/>
                  </w:rPr>
                </w:pPr>
                <w:r w:rsidRPr="000D4A19">
                  <w:rPr>
                    <w:rFonts w:cstheme="minorHAnsi"/>
                    <w:sz w:val="20"/>
                    <w:szCs w:val="20"/>
                    <w:lang w:val="en-GB"/>
                  </w:rPr>
                  <w:t>8.960</w:t>
                </w:r>
              </w:p>
            </w:tc>
          </w:tr>
          <w:tr w:rsidR="009919AC" w:rsidRPr="000D4A19" w14:paraId="5C5738CF" w14:textId="77777777" w:rsidTr="009919AC">
            <w:tc>
              <w:tcPr>
                <w:tcW w:w="4962" w:type="dxa"/>
              </w:tcPr>
              <w:p w14:paraId="0FFC8AF4" w14:textId="77777777" w:rsidR="009919AC" w:rsidRPr="000D4A19" w:rsidRDefault="009919AC" w:rsidP="004B7CAB">
                <w:pPr>
                  <w:rPr>
                    <w:rFonts w:cstheme="minorHAnsi"/>
                    <w:sz w:val="20"/>
                    <w:szCs w:val="20"/>
                    <w:lang w:val="en-GB"/>
                  </w:rPr>
                </w:pPr>
                <w:r w:rsidRPr="000D4A19">
                  <w:rPr>
                    <w:rFonts w:cstheme="minorHAnsi"/>
                    <w:sz w:val="20"/>
                    <w:szCs w:val="20"/>
                    <w:lang w:val="en-GB"/>
                  </w:rPr>
                  <w:t>Patrol leader with five years of service</w:t>
                </w:r>
              </w:p>
            </w:tc>
            <w:tc>
              <w:tcPr>
                <w:tcW w:w="1417" w:type="dxa"/>
              </w:tcPr>
              <w:p w14:paraId="666B764D" w14:textId="77777777" w:rsidR="009919AC" w:rsidRPr="000D4A19" w:rsidRDefault="009919AC" w:rsidP="004B7CAB">
                <w:pPr>
                  <w:jc w:val="right"/>
                  <w:rPr>
                    <w:rFonts w:cstheme="minorHAnsi"/>
                    <w:sz w:val="20"/>
                    <w:szCs w:val="20"/>
                    <w:lang w:val="en-GB"/>
                  </w:rPr>
                </w:pPr>
                <w:r w:rsidRPr="000D4A19">
                  <w:rPr>
                    <w:rFonts w:cstheme="minorHAnsi"/>
                    <w:sz w:val="20"/>
                    <w:szCs w:val="20"/>
                    <w:lang w:val="en-GB"/>
                  </w:rPr>
                  <w:t>71.406</w:t>
                </w:r>
              </w:p>
            </w:tc>
            <w:tc>
              <w:tcPr>
                <w:tcW w:w="1418" w:type="dxa"/>
              </w:tcPr>
              <w:p w14:paraId="43A642A3" w14:textId="77777777" w:rsidR="009919AC" w:rsidRPr="000D4A19" w:rsidRDefault="009919AC" w:rsidP="004B7CAB">
                <w:pPr>
                  <w:jc w:val="right"/>
                  <w:rPr>
                    <w:rFonts w:cstheme="minorHAnsi"/>
                    <w:sz w:val="20"/>
                    <w:szCs w:val="20"/>
                    <w:lang w:val="en-GB"/>
                  </w:rPr>
                </w:pPr>
                <w:r w:rsidRPr="000D4A19">
                  <w:rPr>
                    <w:rFonts w:cstheme="minorHAnsi"/>
                    <w:sz w:val="20"/>
                    <w:szCs w:val="20"/>
                    <w:lang w:val="en-GB"/>
                  </w:rPr>
                  <w:t>9.640</w:t>
                </w:r>
              </w:p>
            </w:tc>
          </w:tr>
          <w:tr w:rsidR="009919AC" w:rsidRPr="000D4A19" w14:paraId="3E60828A" w14:textId="77777777" w:rsidTr="009919AC">
            <w:tc>
              <w:tcPr>
                <w:tcW w:w="4962" w:type="dxa"/>
              </w:tcPr>
              <w:p w14:paraId="192B55FC" w14:textId="77777777" w:rsidR="009919AC" w:rsidRPr="000D4A19" w:rsidRDefault="009919AC" w:rsidP="004B7CAB">
                <w:pPr>
                  <w:rPr>
                    <w:rFonts w:cstheme="minorHAnsi"/>
                    <w:sz w:val="20"/>
                    <w:szCs w:val="20"/>
                    <w:lang w:val="en-GB"/>
                  </w:rPr>
                </w:pPr>
                <w:r w:rsidRPr="000D4A19">
                  <w:rPr>
                    <w:rFonts w:cstheme="minorHAnsi"/>
                    <w:sz w:val="20"/>
                    <w:szCs w:val="20"/>
                    <w:lang w:val="en-GB"/>
                  </w:rPr>
                  <w:t>Head of sector in a police station of the first category with 10 years of service</w:t>
                </w:r>
              </w:p>
            </w:tc>
            <w:tc>
              <w:tcPr>
                <w:tcW w:w="1417" w:type="dxa"/>
              </w:tcPr>
              <w:p w14:paraId="2E8E76E5" w14:textId="77777777" w:rsidR="009919AC" w:rsidRPr="000D4A19" w:rsidRDefault="009919AC" w:rsidP="004B7CAB">
                <w:pPr>
                  <w:jc w:val="right"/>
                  <w:rPr>
                    <w:rFonts w:cstheme="minorHAnsi"/>
                    <w:sz w:val="20"/>
                    <w:szCs w:val="20"/>
                    <w:lang w:val="en-GB"/>
                  </w:rPr>
                </w:pPr>
                <w:r w:rsidRPr="000D4A19">
                  <w:rPr>
                    <w:rFonts w:cstheme="minorHAnsi"/>
                    <w:sz w:val="20"/>
                    <w:szCs w:val="20"/>
                    <w:lang w:val="en-GB"/>
                  </w:rPr>
                  <w:t>93.751</w:t>
                </w:r>
              </w:p>
            </w:tc>
            <w:tc>
              <w:tcPr>
                <w:tcW w:w="1418" w:type="dxa"/>
              </w:tcPr>
              <w:p w14:paraId="2A73FA92" w14:textId="77777777" w:rsidR="009919AC" w:rsidRPr="000D4A19" w:rsidRDefault="009919AC" w:rsidP="004B7CAB">
                <w:pPr>
                  <w:jc w:val="right"/>
                  <w:rPr>
                    <w:rFonts w:cstheme="minorHAnsi"/>
                    <w:sz w:val="20"/>
                    <w:szCs w:val="20"/>
                    <w:lang w:val="en-GB"/>
                  </w:rPr>
                </w:pPr>
                <w:r w:rsidRPr="000D4A19">
                  <w:rPr>
                    <w:rFonts w:cstheme="minorHAnsi"/>
                    <w:sz w:val="20"/>
                    <w:szCs w:val="20"/>
                    <w:lang w:val="en-GB"/>
                  </w:rPr>
                  <w:t>12.656</w:t>
                </w:r>
              </w:p>
            </w:tc>
          </w:tr>
          <w:tr w:rsidR="009919AC" w:rsidRPr="000D4A19" w14:paraId="77C1C077" w14:textId="77777777" w:rsidTr="009919AC">
            <w:tc>
              <w:tcPr>
                <w:tcW w:w="4962" w:type="dxa"/>
              </w:tcPr>
              <w:p w14:paraId="177CB743" w14:textId="77777777" w:rsidR="009919AC" w:rsidRPr="000D4A19" w:rsidRDefault="009919AC" w:rsidP="004B7CAB">
                <w:pPr>
                  <w:rPr>
                    <w:rFonts w:cstheme="minorHAnsi"/>
                    <w:sz w:val="20"/>
                    <w:szCs w:val="20"/>
                    <w:lang w:val="en-GB"/>
                  </w:rPr>
                </w:pPr>
                <w:r w:rsidRPr="000D4A19">
                  <w:rPr>
                    <w:rFonts w:cstheme="minorHAnsi"/>
                    <w:sz w:val="20"/>
                    <w:szCs w:val="20"/>
                    <w:lang w:val="en-GB"/>
                  </w:rPr>
                  <w:t xml:space="preserve">Shift supervisor in a police station of the first category with 15 years of service </w:t>
                </w:r>
              </w:p>
            </w:tc>
            <w:tc>
              <w:tcPr>
                <w:tcW w:w="1417" w:type="dxa"/>
              </w:tcPr>
              <w:p w14:paraId="268F31A0" w14:textId="77777777" w:rsidR="009919AC" w:rsidRPr="000D4A19" w:rsidRDefault="009919AC" w:rsidP="004B7CAB">
                <w:pPr>
                  <w:jc w:val="right"/>
                  <w:rPr>
                    <w:rFonts w:cstheme="minorHAnsi"/>
                    <w:sz w:val="20"/>
                    <w:szCs w:val="20"/>
                    <w:lang w:val="en-GB"/>
                  </w:rPr>
                </w:pPr>
                <w:r w:rsidRPr="000D4A19">
                  <w:rPr>
                    <w:rFonts w:cstheme="minorHAnsi"/>
                    <w:sz w:val="20"/>
                    <w:szCs w:val="20"/>
                    <w:lang w:val="en-GB"/>
                  </w:rPr>
                  <w:t>99.256</w:t>
                </w:r>
              </w:p>
            </w:tc>
            <w:tc>
              <w:tcPr>
                <w:tcW w:w="1418" w:type="dxa"/>
              </w:tcPr>
              <w:p w14:paraId="5E6F8803" w14:textId="77777777" w:rsidR="009919AC" w:rsidRPr="000D4A19" w:rsidRDefault="009919AC" w:rsidP="004B7CAB">
                <w:pPr>
                  <w:jc w:val="right"/>
                  <w:rPr>
                    <w:rFonts w:cstheme="minorHAnsi"/>
                    <w:sz w:val="20"/>
                    <w:szCs w:val="20"/>
                    <w:lang w:val="en-GB"/>
                  </w:rPr>
                </w:pPr>
                <w:r w:rsidRPr="000D4A19">
                  <w:rPr>
                    <w:rFonts w:cstheme="minorHAnsi"/>
                    <w:sz w:val="20"/>
                    <w:szCs w:val="20"/>
                    <w:lang w:val="en-GB"/>
                  </w:rPr>
                  <w:t>13.400</w:t>
                </w:r>
              </w:p>
            </w:tc>
          </w:tr>
          <w:tr w:rsidR="009919AC" w:rsidRPr="000D4A19" w14:paraId="36C655D4" w14:textId="77777777" w:rsidTr="009919AC">
            <w:tc>
              <w:tcPr>
                <w:tcW w:w="4962" w:type="dxa"/>
              </w:tcPr>
              <w:p w14:paraId="5F018C37" w14:textId="77777777" w:rsidR="009919AC" w:rsidRPr="000D4A19" w:rsidRDefault="009919AC" w:rsidP="004B7CAB">
                <w:pPr>
                  <w:rPr>
                    <w:rFonts w:cstheme="minorHAnsi"/>
                    <w:sz w:val="20"/>
                    <w:szCs w:val="20"/>
                    <w:lang w:val="en-GB"/>
                  </w:rPr>
                </w:pPr>
                <w:r w:rsidRPr="000D4A19">
                  <w:rPr>
                    <w:rFonts w:cstheme="minorHAnsi"/>
                    <w:sz w:val="20"/>
                    <w:szCs w:val="20"/>
                    <w:lang w:val="en-GB"/>
                  </w:rPr>
                  <w:t>Deputy chief of the police station of the first category with 20 years of service</w:t>
                </w:r>
              </w:p>
            </w:tc>
            <w:tc>
              <w:tcPr>
                <w:tcW w:w="1417" w:type="dxa"/>
              </w:tcPr>
              <w:p w14:paraId="596D04E7" w14:textId="77777777" w:rsidR="009919AC" w:rsidRPr="000D4A19" w:rsidRDefault="009919AC" w:rsidP="004B7CAB">
                <w:pPr>
                  <w:jc w:val="right"/>
                  <w:rPr>
                    <w:rFonts w:cstheme="minorHAnsi"/>
                    <w:sz w:val="20"/>
                    <w:szCs w:val="20"/>
                    <w:lang w:val="en-GB"/>
                  </w:rPr>
                </w:pPr>
                <w:r w:rsidRPr="000D4A19">
                  <w:rPr>
                    <w:rFonts w:cstheme="minorHAnsi"/>
                    <w:sz w:val="20"/>
                    <w:szCs w:val="20"/>
                    <w:lang w:val="en-GB"/>
                  </w:rPr>
                  <w:t>145.590</w:t>
                </w:r>
              </w:p>
            </w:tc>
            <w:tc>
              <w:tcPr>
                <w:tcW w:w="1418" w:type="dxa"/>
              </w:tcPr>
              <w:p w14:paraId="4661F379" w14:textId="77777777" w:rsidR="009919AC" w:rsidRPr="000D4A19" w:rsidRDefault="009919AC" w:rsidP="004B7CAB">
                <w:pPr>
                  <w:jc w:val="right"/>
                  <w:rPr>
                    <w:rFonts w:cstheme="minorHAnsi"/>
                    <w:sz w:val="20"/>
                    <w:szCs w:val="20"/>
                    <w:lang w:val="en-GB"/>
                  </w:rPr>
                </w:pPr>
                <w:r w:rsidRPr="000D4A19">
                  <w:rPr>
                    <w:rFonts w:cstheme="minorHAnsi"/>
                    <w:sz w:val="20"/>
                    <w:szCs w:val="20"/>
                    <w:lang w:val="en-GB"/>
                  </w:rPr>
                  <w:t>19.655</w:t>
                </w:r>
              </w:p>
            </w:tc>
          </w:tr>
          <w:tr w:rsidR="009919AC" w:rsidRPr="000D4A19" w14:paraId="10297AEB" w14:textId="77777777" w:rsidTr="009919AC">
            <w:tc>
              <w:tcPr>
                <w:tcW w:w="4962" w:type="dxa"/>
              </w:tcPr>
              <w:p w14:paraId="71D77CEE" w14:textId="77777777" w:rsidR="009919AC" w:rsidRPr="000D4A19" w:rsidRDefault="009919AC" w:rsidP="004B7CAB">
                <w:pPr>
                  <w:rPr>
                    <w:rFonts w:cstheme="minorHAnsi"/>
                    <w:sz w:val="20"/>
                    <w:szCs w:val="20"/>
                    <w:lang w:val="en-GB"/>
                  </w:rPr>
                </w:pPr>
                <w:r w:rsidRPr="000D4A19">
                  <w:rPr>
                    <w:rFonts w:cstheme="minorHAnsi"/>
                    <w:sz w:val="20"/>
                    <w:szCs w:val="20"/>
                    <w:lang w:val="en-GB"/>
                  </w:rPr>
                  <w:t xml:space="preserve">Chief of the police station of the first category with 25 years of service </w:t>
                </w:r>
              </w:p>
            </w:tc>
            <w:tc>
              <w:tcPr>
                <w:tcW w:w="1417" w:type="dxa"/>
              </w:tcPr>
              <w:p w14:paraId="72E0AB45" w14:textId="77777777" w:rsidR="009919AC" w:rsidRPr="000D4A19" w:rsidRDefault="009919AC" w:rsidP="004B7CAB">
                <w:pPr>
                  <w:jc w:val="right"/>
                  <w:rPr>
                    <w:rFonts w:cstheme="minorHAnsi"/>
                    <w:sz w:val="20"/>
                    <w:szCs w:val="20"/>
                    <w:lang w:val="en-GB"/>
                  </w:rPr>
                </w:pPr>
                <w:r w:rsidRPr="000D4A19">
                  <w:rPr>
                    <w:rFonts w:cstheme="minorHAnsi"/>
                    <w:sz w:val="20"/>
                    <w:szCs w:val="20"/>
                    <w:lang w:val="en-GB"/>
                  </w:rPr>
                  <w:t>161.023</w:t>
                </w:r>
              </w:p>
            </w:tc>
            <w:tc>
              <w:tcPr>
                <w:tcW w:w="1418" w:type="dxa"/>
              </w:tcPr>
              <w:p w14:paraId="30177D2A" w14:textId="77777777" w:rsidR="009919AC" w:rsidRPr="000D4A19" w:rsidRDefault="009919AC" w:rsidP="004B7CAB">
                <w:pPr>
                  <w:jc w:val="right"/>
                  <w:rPr>
                    <w:rFonts w:cstheme="minorHAnsi"/>
                    <w:sz w:val="20"/>
                    <w:szCs w:val="20"/>
                    <w:lang w:val="en-GB"/>
                  </w:rPr>
                </w:pPr>
                <w:r w:rsidRPr="000D4A19">
                  <w:rPr>
                    <w:rFonts w:cstheme="minorHAnsi"/>
                    <w:sz w:val="20"/>
                    <w:szCs w:val="20"/>
                    <w:lang w:val="en-GB"/>
                  </w:rPr>
                  <w:t>21.738</w:t>
                </w:r>
              </w:p>
            </w:tc>
          </w:tr>
        </w:tbl>
        <w:p w14:paraId="225D47DD" w14:textId="77777777" w:rsidR="009919AC" w:rsidRPr="000D4A19" w:rsidRDefault="009919AC" w:rsidP="004B7CAB">
          <w:pPr>
            <w:spacing w:after="0" w:line="240" w:lineRule="auto"/>
            <w:rPr>
              <w:rFonts w:cstheme="minorHAnsi"/>
              <w:sz w:val="24"/>
              <w:szCs w:val="24"/>
              <w:lang w:val="en-GB"/>
            </w:rPr>
          </w:pPr>
        </w:p>
        <w:p w14:paraId="6F9AAF7E" w14:textId="3D53FB39"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Police officers are not provided with any additional allowances, with the exception of </w:t>
          </w:r>
          <w:r w:rsidR="00CF3F9F" w:rsidRPr="000D4A19">
            <w:rPr>
              <w:rFonts w:cstheme="minorHAnsi"/>
              <w:sz w:val="24"/>
              <w:szCs w:val="24"/>
              <w:lang w:val="en-GB"/>
            </w:rPr>
            <w:t xml:space="preserve">situations in which </w:t>
          </w:r>
          <w:r w:rsidRPr="000D4A19">
            <w:rPr>
              <w:rFonts w:cstheme="minorHAnsi"/>
              <w:sz w:val="24"/>
              <w:szCs w:val="24"/>
              <w:lang w:val="en-GB"/>
            </w:rPr>
            <w:t xml:space="preserve">they are temporarily transferred more than 100 kilometres away from </w:t>
          </w:r>
          <w:r w:rsidR="004C0C46" w:rsidRPr="000D4A19">
            <w:rPr>
              <w:rFonts w:cstheme="minorHAnsi"/>
              <w:sz w:val="24"/>
              <w:szCs w:val="24"/>
              <w:lang w:val="en-GB"/>
            </w:rPr>
            <w:t xml:space="preserve">their </w:t>
          </w:r>
          <w:r w:rsidRPr="000D4A19">
            <w:rPr>
              <w:rFonts w:cstheme="minorHAnsi"/>
              <w:sz w:val="24"/>
              <w:szCs w:val="24"/>
              <w:lang w:val="en-GB"/>
            </w:rPr>
            <w:t>place of residence.</w:t>
          </w:r>
          <w:r w:rsidR="00CF3F9F" w:rsidRPr="000D4A19">
            <w:rPr>
              <w:rStyle w:val="Referencafusnote"/>
              <w:rFonts w:cstheme="minorHAnsi"/>
              <w:sz w:val="24"/>
              <w:szCs w:val="24"/>
              <w:lang w:val="en-GB"/>
            </w:rPr>
            <w:footnoteReference w:id="64"/>
          </w:r>
          <w:r w:rsidRPr="000D4A19">
            <w:rPr>
              <w:rFonts w:cstheme="minorHAnsi"/>
              <w:sz w:val="24"/>
              <w:szCs w:val="24"/>
              <w:lang w:val="en-GB"/>
            </w:rPr>
            <w:t xml:space="preserve"> These additional allowances in case of transfer are overseen by the organisational unit competent for material and financial affairs and human resource management. </w:t>
          </w:r>
        </w:p>
        <w:p w14:paraId="1C4B562F" w14:textId="77777777" w:rsidR="009919AC" w:rsidRPr="000D4A19" w:rsidRDefault="009919AC" w:rsidP="004B7CAB">
          <w:pPr>
            <w:spacing w:after="0" w:line="240" w:lineRule="auto"/>
            <w:jc w:val="both"/>
            <w:rPr>
              <w:rFonts w:cstheme="minorHAnsi"/>
              <w:sz w:val="24"/>
              <w:szCs w:val="24"/>
              <w:lang w:val="en-GB"/>
            </w:rPr>
          </w:pPr>
        </w:p>
        <w:p w14:paraId="113601A6" w14:textId="77777777" w:rsidR="009919AC" w:rsidRPr="000D4A19" w:rsidRDefault="009919AC" w:rsidP="004B7CAB">
          <w:pPr>
            <w:pStyle w:val="Naslov2"/>
            <w:keepNext w:val="0"/>
            <w:keepLines w:val="0"/>
            <w:tabs>
              <w:tab w:val="left" w:pos="709"/>
            </w:tabs>
            <w:spacing w:before="0" w:line="240" w:lineRule="auto"/>
            <w:jc w:val="both"/>
            <w:rPr>
              <w:rFonts w:asciiTheme="minorHAnsi" w:hAnsiTheme="minorHAnsi"/>
              <w:color w:val="auto"/>
              <w:sz w:val="24"/>
              <w:szCs w:val="24"/>
              <w:u w:val="single"/>
              <w:lang w:val="en-GB"/>
            </w:rPr>
          </w:pPr>
          <w:bookmarkStart w:id="189" w:name="_Toc4762888"/>
          <w:bookmarkStart w:id="190" w:name="_Toc25229334"/>
          <w:bookmarkStart w:id="191" w:name="_Toc342554311"/>
          <w:bookmarkStart w:id="192" w:name="_Toc342640986"/>
          <w:bookmarkStart w:id="193" w:name="_Toc484088351"/>
          <w:r w:rsidRPr="000D4A19">
            <w:rPr>
              <w:rFonts w:asciiTheme="minorHAnsi" w:hAnsiTheme="minorHAnsi"/>
              <w:color w:val="auto"/>
              <w:sz w:val="24"/>
              <w:szCs w:val="24"/>
              <w:u w:val="single"/>
              <w:lang w:val="en-GB"/>
            </w:rPr>
            <w:t>Conflicts of interest</w:t>
          </w:r>
          <w:bookmarkEnd w:id="189"/>
          <w:bookmarkEnd w:id="190"/>
        </w:p>
        <w:bookmarkEnd w:id="191"/>
        <w:bookmarkEnd w:id="192"/>
        <w:bookmarkEnd w:id="193"/>
        <w:p w14:paraId="5FE9F619" w14:textId="77777777" w:rsidR="009919AC" w:rsidRPr="000D4A19" w:rsidRDefault="009919AC" w:rsidP="004B7CAB">
          <w:pPr>
            <w:spacing w:after="0" w:line="240" w:lineRule="auto"/>
            <w:jc w:val="both"/>
            <w:rPr>
              <w:rFonts w:cstheme="minorHAnsi"/>
              <w:sz w:val="24"/>
              <w:szCs w:val="24"/>
              <w:lang w:val="en-GB"/>
            </w:rPr>
          </w:pPr>
        </w:p>
        <w:p w14:paraId="7A122C63" w14:textId="41A35DAB" w:rsidR="009919AC" w:rsidRPr="000D4A19" w:rsidRDefault="009919AC" w:rsidP="00882348">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ascii="Calibri" w:eastAsiaTheme="majorEastAsia" w:hAnsi="Calibri" w:cstheme="majorBidi"/>
              <w:bCs/>
              <w:sz w:val="24"/>
              <w:szCs w:val="24"/>
              <w:lang w:val="en-GB"/>
            </w:rPr>
            <w:t xml:space="preserve">Conflicts of interest for police officers (and other civil servants employed in the police) are primarily regulated by the Civil Servants Act, </w:t>
          </w:r>
          <w:r w:rsidR="000419E9" w:rsidRPr="000D4A19">
            <w:rPr>
              <w:rFonts w:ascii="Calibri" w:eastAsiaTheme="majorEastAsia" w:hAnsi="Calibri" w:cstheme="majorBidi"/>
              <w:bCs/>
              <w:sz w:val="24"/>
              <w:szCs w:val="24"/>
              <w:lang w:val="en-GB"/>
            </w:rPr>
            <w:t xml:space="preserve">which </w:t>
          </w:r>
          <w:r w:rsidRPr="000D4A19">
            <w:rPr>
              <w:rFonts w:ascii="Calibri" w:eastAsiaTheme="majorEastAsia" w:hAnsi="Calibri" w:cstheme="majorBidi"/>
              <w:bCs/>
              <w:sz w:val="24"/>
              <w:szCs w:val="24"/>
              <w:lang w:val="en-GB"/>
            </w:rPr>
            <w:t>provides that a civil servant may not make decisions or participate in the decision-making which affects the financial or other interests of 1) his/her spouse, common-law partner, child or parent; 2) individuals or legal persons, with whom s/he has had formal or business contacts within the past two years, who have financed his/her election campaign within the past five years, for which s/he is an official representative, legal representative or bankruptcy trustee, or with whom s/he, his/her spouse, child or parent is involved in a lawsuit or to whom they are indebted; 3) companies, institutional or other legal persons in which the civil servants intends to seek employment; 4) associations or legal persons in which s/he holds the post of administrator or membership in the board of directors (Article 37, Civil Servants Act). In addition, both the Civil Servants Act and the Police Act contain various incompatibilities, meant to avoid conflicts of interest</w:t>
          </w:r>
          <w:r w:rsidR="00F84D8D" w:rsidRPr="000D4A19">
            <w:rPr>
              <w:rFonts w:ascii="Calibri" w:eastAsiaTheme="majorEastAsia" w:hAnsi="Calibri" w:cstheme="majorBidi"/>
              <w:bCs/>
              <w:sz w:val="24"/>
              <w:szCs w:val="24"/>
              <w:lang w:val="en-GB"/>
            </w:rPr>
            <w:t xml:space="preserve"> </w:t>
          </w:r>
          <w:r w:rsidR="00526266" w:rsidRPr="000D4A19">
            <w:rPr>
              <w:rFonts w:ascii="Calibri" w:eastAsiaTheme="majorEastAsia" w:hAnsi="Calibri" w:cstheme="majorBidi"/>
              <w:bCs/>
              <w:sz w:val="24"/>
              <w:szCs w:val="24"/>
              <w:lang w:val="en-GB"/>
            </w:rPr>
            <w:t>(</w:t>
          </w:r>
          <w:r w:rsidR="00F84D8D" w:rsidRPr="000D4A19">
            <w:rPr>
              <w:rFonts w:ascii="Calibri" w:eastAsiaTheme="majorEastAsia" w:hAnsi="Calibri" w:cstheme="majorBidi"/>
              <w:bCs/>
              <w:sz w:val="24"/>
              <w:szCs w:val="24"/>
              <w:lang w:val="en-GB"/>
            </w:rPr>
            <w:t>see</w:t>
          </w:r>
          <w:r w:rsidRPr="000D4A19">
            <w:rPr>
              <w:rFonts w:ascii="Calibri" w:eastAsiaTheme="majorEastAsia" w:hAnsi="Calibri" w:cstheme="majorBidi"/>
              <w:bCs/>
              <w:sz w:val="24"/>
              <w:szCs w:val="24"/>
              <w:lang w:val="en-GB"/>
            </w:rPr>
            <w:t xml:space="preserve"> </w:t>
          </w:r>
          <w:r w:rsidR="00E37439" w:rsidRPr="007A42EA">
            <w:rPr>
              <w:rFonts w:ascii="Calibri" w:eastAsiaTheme="majorEastAsia" w:hAnsi="Calibri" w:cstheme="majorBidi"/>
              <w:bCs/>
              <w:sz w:val="24"/>
              <w:szCs w:val="24"/>
              <w:lang w:val="en-GB"/>
            </w:rPr>
            <w:t>paragraph</w:t>
          </w:r>
          <w:r w:rsidR="00526266" w:rsidRPr="007A42EA">
            <w:rPr>
              <w:rFonts w:ascii="Calibri" w:eastAsiaTheme="majorEastAsia" w:hAnsi="Calibri" w:cstheme="majorBidi"/>
              <w:bCs/>
              <w:sz w:val="24"/>
              <w:szCs w:val="24"/>
              <w:lang w:val="en-GB"/>
            </w:rPr>
            <w:t>s</w:t>
          </w:r>
          <w:r w:rsidR="00E37439" w:rsidRPr="007A42EA">
            <w:rPr>
              <w:rFonts w:ascii="Calibri" w:eastAsiaTheme="majorEastAsia" w:hAnsi="Calibri" w:cstheme="majorBidi"/>
              <w:bCs/>
              <w:sz w:val="24"/>
              <w:szCs w:val="24"/>
              <w:lang w:val="en-GB"/>
            </w:rPr>
            <w:t xml:space="preserve"> </w:t>
          </w:r>
          <w:r w:rsidR="0067037A" w:rsidRPr="007A42EA">
            <w:rPr>
              <w:rFonts w:ascii="Calibri" w:eastAsiaTheme="majorEastAsia" w:hAnsi="Calibri" w:cstheme="majorBidi"/>
              <w:bCs/>
              <w:sz w:val="24"/>
              <w:szCs w:val="24"/>
              <w:lang w:val="en-GB"/>
            </w:rPr>
            <w:t>1</w:t>
          </w:r>
          <w:r w:rsidR="00ED28E7" w:rsidRPr="007A42EA">
            <w:rPr>
              <w:rFonts w:ascii="Calibri" w:eastAsiaTheme="majorEastAsia" w:hAnsi="Calibri" w:cstheme="majorBidi"/>
              <w:bCs/>
              <w:sz w:val="24"/>
              <w:szCs w:val="24"/>
              <w:lang w:val="en-GB"/>
            </w:rPr>
            <w:t>39</w:t>
          </w:r>
          <w:r w:rsidR="00DD681C" w:rsidRPr="007A42EA">
            <w:rPr>
              <w:rFonts w:ascii="Calibri" w:eastAsiaTheme="majorEastAsia" w:hAnsi="Calibri" w:cstheme="majorBidi"/>
              <w:bCs/>
              <w:sz w:val="24"/>
              <w:szCs w:val="24"/>
              <w:lang w:val="en-GB"/>
            </w:rPr>
            <w:t>-142</w:t>
          </w:r>
          <w:r w:rsidR="00E37439" w:rsidRPr="007A42EA">
            <w:rPr>
              <w:rFonts w:ascii="Calibri" w:eastAsiaTheme="majorEastAsia" w:hAnsi="Calibri" w:cstheme="majorBidi"/>
              <w:bCs/>
              <w:sz w:val="24"/>
              <w:szCs w:val="24"/>
              <w:lang w:val="en-GB"/>
            </w:rPr>
            <w:t xml:space="preserve"> </w:t>
          </w:r>
          <w:r w:rsidRPr="007A42EA">
            <w:rPr>
              <w:rFonts w:ascii="Calibri" w:eastAsiaTheme="majorEastAsia" w:hAnsi="Calibri" w:cstheme="majorBidi"/>
              <w:bCs/>
              <w:sz w:val="24"/>
              <w:szCs w:val="24"/>
              <w:lang w:val="en-GB"/>
            </w:rPr>
            <w:t>further</w:t>
          </w:r>
          <w:r w:rsidRPr="000D4A19">
            <w:rPr>
              <w:rFonts w:ascii="Calibri" w:eastAsiaTheme="majorEastAsia" w:hAnsi="Calibri" w:cstheme="majorBidi"/>
              <w:bCs/>
              <w:sz w:val="24"/>
              <w:szCs w:val="24"/>
              <w:lang w:val="en-GB"/>
            </w:rPr>
            <w:t xml:space="preserve"> below</w:t>
          </w:r>
          <w:r w:rsidR="00526266" w:rsidRPr="000D4A19">
            <w:rPr>
              <w:rFonts w:ascii="Calibri" w:eastAsiaTheme="majorEastAsia" w:hAnsi="Calibri" w:cstheme="majorBidi"/>
              <w:bCs/>
              <w:sz w:val="24"/>
              <w:szCs w:val="24"/>
              <w:lang w:val="en-GB"/>
            </w:rPr>
            <w:t>)</w:t>
          </w:r>
          <w:r w:rsidRPr="000D4A19">
            <w:rPr>
              <w:rFonts w:ascii="Calibri" w:eastAsiaTheme="majorEastAsia" w:hAnsi="Calibri" w:cstheme="majorBidi"/>
              <w:bCs/>
              <w:sz w:val="24"/>
              <w:szCs w:val="24"/>
              <w:lang w:val="en-GB"/>
            </w:rPr>
            <w:t xml:space="preserve">. </w:t>
          </w:r>
        </w:p>
        <w:p w14:paraId="3223C099" w14:textId="77777777" w:rsidR="00A82D35" w:rsidRPr="000D4A19" w:rsidRDefault="00A82D35" w:rsidP="00A82D35">
          <w:pPr>
            <w:tabs>
              <w:tab w:val="left" w:pos="709"/>
              <w:tab w:val="num" w:pos="8222"/>
            </w:tabs>
            <w:spacing w:after="0" w:line="240" w:lineRule="auto"/>
            <w:jc w:val="both"/>
            <w:rPr>
              <w:rFonts w:cstheme="minorHAnsi"/>
              <w:sz w:val="24"/>
              <w:szCs w:val="24"/>
              <w:lang w:val="en-GB"/>
            </w:rPr>
          </w:pPr>
        </w:p>
        <w:p w14:paraId="263DC0A3" w14:textId="627EC8CE" w:rsidR="009919AC" w:rsidRPr="000D4A19" w:rsidRDefault="00A82D35"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ascii="Calibri" w:eastAsiaTheme="majorEastAsia" w:hAnsi="Calibri" w:cstheme="majorBidi"/>
              <w:bCs/>
              <w:sz w:val="24"/>
              <w:szCs w:val="24"/>
              <w:lang w:val="en-GB"/>
            </w:rPr>
            <w:t>The GET welcomes the provisions o</w:t>
          </w:r>
          <w:r w:rsidR="00207597" w:rsidRPr="000D4A19">
            <w:rPr>
              <w:rFonts w:ascii="Calibri" w:eastAsiaTheme="majorEastAsia" w:hAnsi="Calibri" w:cstheme="majorBidi"/>
              <w:bCs/>
              <w:sz w:val="24"/>
              <w:szCs w:val="24"/>
              <w:lang w:val="en-GB"/>
            </w:rPr>
            <w:t>n conflicts of interest in the Civil Servants A</w:t>
          </w:r>
          <w:r w:rsidRPr="000D4A19">
            <w:rPr>
              <w:rFonts w:ascii="Calibri" w:eastAsiaTheme="majorEastAsia" w:hAnsi="Calibri" w:cstheme="majorBidi"/>
              <w:bCs/>
              <w:sz w:val="24"/>
              <w:szCs w:val="24"/>
              <w:lang w:val="en-GB"/>
            </w:rPr>
            <w:t>ct, but finds that these are not always read</w:t>
          </w:r>
          <w:r w:rsidR="00207597" w:rsidRPr="000D4A19">
            <w:rPr>
              <w:rFonts w:ascii="Calibri" w:eastAsiaTheme="majorEastAsia" w:hAnsi="Calibri" w:cstheme="majorBidi"/>
              <w:bCs/>
              <w:sz w:val="24"/>
              <w:szCs w:val="24"/>
              <w:lang w:val="en-GB"/>
            </w:rPr>
            <w:t xml:space="preserve">ily translatable to the work of a police officer. What </w:t>
          </w:r>
          <w:r w:rsidR="004C0C46" w:rsidRPr="000D4A19">
            <w:rPr>
              <w:rFonts w:ascii="Calibri" w:eastAsiaTheme="majorEastAsia" w:hAnsi="Calibri" w:cstheme="majorBidi"/>
              <w:bCs/>
              <w:sz w:val="24"/>
              <w:szCs w:val="24"/>
              <w:lang w:val="en-GB"/>
            </w:rPr>
            <w:t xml:space="preserve">appears to be </w:t>
          </w:r>
          <w:r w:rsidR="00F30353" w:rsidRPr="000D4A19">
            <w:rPr>
              <w:rFonts w:ascii="Calibri" w:eastAsiaTheme="majorEastAsia" w:hAnsi="Calibri" w:cstheme="majorBidi"/>
              <w:bCs/>
              <w:sz w:val="24"/>
              <w:szCs w:val="24"/>
              <w:lang w:val="en-GB"/>
            </w:rPr>
            <w:t>missing is a general obligation of notification to a superior or obligation of recusal when a police officer is confronted with a</w:t>
          </w:r>
          <w:r w:rsidR="00CF36E7">
            <w:rPr>
              <w:rFonts w:ascii="Calibri" w:eastAsiaTheme="majorEastAsia" w:hAnsi="Calibri" w:cstheme="majorBidi"/>
              <w:bCs/>
              <w:sz w:val="24"/>
              <w:szCs w:val="24"/>
              <w:lang w:val="en-GB"/>
            </w:rPr>
            <w:t>n actual or</w:t>
          </w:r>
          <w:r w:rsidR="00F30353" w:rsidRPr="000D4A19">
            <w:rPr>
              <w:rFonts w:ascii="Calibri" w:eastAsiaTheme="majorEastAsia" w:hAnsi="Calibri" w:cstheme="majorBidi"/>
              <w:bCs/>
              <w:sz w:val="24"/>
              <w:szCs w:val="24"/>
              <w:lang w:val="en-GB"/>
            </w:rPr>
            <w:t xml:space="preserve"> potential conflict of interest (or a situation which may be perceived in such a way)</w:t>
          </w:r>
          <w:bookmarkStart w:id="194" w:name="_Toc484088352"/>
          <w:r w:rsidR="00526266" w:rsidRPr="000D4A19">
            <w:rPr>
              <w:rFonts w:ascii="Calibri" w:eastAsiaTheme="majorEastAsia" w:hAnsi="Calibri" w:cstheme="majorBidi"/>
              <w:bCs/>
              <w:sz w:val="24"/>
              <w:szCs w:val="24"/>
              <w:lang w:val="en-GB"/>
            </w:rPr>
            <w:t>;</w:t>
          </w:r>
          <w:r w:rsidR="00F30353" w:rsidRPr="000D4A19">
            <w:rPr>
              <w:rFonts w:ascii="Calibri" w:eastAsiaTheme="majorEastAsia" w:hAnsi="Calibri" w:cstheme="majorBidi"/>
              <w:bCs/>
              <w:sz w:val="24"/>
              <w:szCs w:val="24"/>
              <w:lang w:val="en-GB"/>
            </w:rPr>
            <w:t xml:space="preserve"> for example</w:t>
          </w:r>
          <w:r w:rsidR="00526266" w:rsidRPr="000D4A19">
            <w:rPr>
              <w:rFonts w:ascii="Calibri" w:eastAsiaTheme="majorEastAsia" w:hAnsi="Calibri" w:cstheme="majorBidi"/>
              <w:bCs/>
              <w:sz w:val="24"/>
              <w:szCs w:val="24"/>
              <w:lang w:val="en-GB"/>
            </w:rPr>
            <w:t>,</w:t>
          </w:r>
          <w:r w:rsidR="00F30353" w:rsidRPr="000D4A19">
            <w:rPr>
              <w:rFonts w:ascii="Calibri" w:eastAsiaTheme="majorEastAsia" w:hAnsi="Calibri" w:cstheme="majorBidi"/>
              <w:bCs/>
              <w:sz w:val="24"/>
              <w:szCs w:val="24"/>
              <w:lang w:val="en-GB"/>
            </w:rPr>
            <w:t xml:space="preserve"> police investigations involving </w:t>
          </w:r>
          <w:r w:rsidR="00E37439" w:rsidRPr="000D4A19">
            <w:rPr>
              <w:rFonts w:ascii="Calibri" w:eastAsiaTheme="majorEastAsia" w:hAnsi="Calibri" w:cstheme="majorBidi"/>
              <w:bCs/>
              <w:sz w:val="24"/>
              <w:szCs w:val="24"/>
              <w:lang w:val="en-GB"/>
            </w:rPr>
            <w:t xml:space="preserve">friends or </w:t>
          </w:r>
          <w:r w:rsidR="00F30353" w:rsidRPr="000D4A19">
            <w:rPr>
              <w:rFonts w:ascii="Calibri" w:eastAsiaTheme="majorEastAsia" w:hAnsi="Calibri" w:cstheme="majorBidi"/>
              <w:bCs/>
              <w:sz w:val="24"/>
              <w:szCs w:val="24"/>
              <w:lang w:val="en-GB"/>
            </w:rPr>
            <w:t>family members, proceedings in which s/he has intervened as an expert or witness etc. The</w:t>
          </w:r>
          <w:r w:rsidR="00E37439" w:rsidRPr="000D4A19">
            <w:rPr>
              <w:rFonts w:ascii="Calibri" w:eastAsiaTheme="majorEastAsia" w:hAnsi="Calibri" w:cstheme="majorBidi"/>
              <w:bCs/>
              <w:sz w:val="24"/>
              <w:szCs w:val="24"/>
              <w:lang w:val="en-GB"/>
            </w:rPr>
            <w:t xml:space="preserve"> GET finds that this is an area, which w</w:t>
          </w:r>
          <w:r w:rsidR="00F30353" w:rsidRPr="000D4A19">
            <w:rPr>
              <w:rFonts w:ascii="Calibri" w:eastAsiaTheme="majorEastAsia" w:hAnsi="Calibri" w:cstheme="majorBidi"/>
              <w:bCs/>
              <w:sz w:val="24"/>
              <w:szCs w:val="24"/>
              <w:lang w:val="en-GB"/>
            </w:rPr>
            <w:t xml:space="preserve">ould </w:t>
          </w:r>
          <w:r w:rsidR="00E37439" w:rsidRPr="000D4A19">
            <w:rPr>
              <w:rFonts w:ascii="Calibri" w:eastAsiaTheme="majorEastAsia" w:hAnsi="Calibri" w:cstheme="majorBidi"/>
              <w:bCs/>
              <w:sz w:val="24"/>
              <w:szCs w:val="24"/>
              <w:lang w:val="en-GB"/>
            </w:rPr>
            <w:t xml:space="preserve">clearly </w:t>
          </w:r>
          <w:r w:rsidR="00F30353" w:rsidRPr="000D4A19">
            <w:rPr>
              <w:rFonts w:ascii="Calibri" w:eastAsiaTheme="majorEastAsia" w:hAnsi="Calibri" w:cstheme="majorBidi"/>
              <w:bCs/>
              <w:sz w:val="24"/>
              <w:szCs w:val="24"/>
              <w:lang w:val="en-GB"/>
            </w:rPr>
            <w:t xml:space="preserve">benefit from further guidance through </w:t>
          </w:r>
          <w:r w:rsidR="00526266" w:rsidRPr="000D4A19">
            <w:rPr>
              <w:rFonts w:ascii="Calibri" w:eastAsiaTheme="majorEastAsia" w:hAnsi="Calibri" w:cstheme="majorBidi"/>
              <w:bCs/>
              <w:sz w:val="24"/>
              <w:szCs w:val="24"/>
              <w:lang w:val="en-GB"/>
            </w:rPr>
            <w:t>its</w:t>
          </w:r>
          <w:r w:rsidR="00F30353" w:rsidRPr="000D4A19">
            <w:rPr>
              <w:rFonts w:ascii="Calibri" w:eastAsiaTheme="majorEastAsia" w:hAnsi="Calibri" w:cstheme="majorBidi"/>
              <w:bCs/>
              <w:sz w:val="24"/>
              <w:szCs w:val="24"/>
              <w:lang w:val="en-GB"/>
            </w:rPr>
            <w:t xml:space="preserve"> inclusion in </w:t>
          </w:r>
          <w:r w:rsidR="004C0C46" w:rsidRPr="000D4A19">
            <w:rPr>
              <w:rFonts w:ascii="Calibri" w:eastAsiaTheme="majorEastAsia" w:hAnsi="Calibri" w:cstheme="majorBidi"/>
              <w:bCs/>
              <w:sz w:val="24"/>
              <w:szCs w:val="24"/>
              <w:lang w:val="en-GB"/>
            </w:rPr>
            <w:t xml:space="preserve">a </w:t>
          </w:r>
          <w:r w:rsidR="00F30353" w:rsidRPr="000D4A19">
            <w:rPr>
              <w:rFonts w:ascii="Calibri" w:eastAsiaTheme="majorEastAsia" w:hAnsi="Calibri" w:cstheme="majorBidi"/>
              <w:bCs/>
              <w:sz w:val="24"/>
              <w:szCs w:val="24"/>
              <w:lang w:val="en-GB"/>
            </w:rPr>
            <w:t xml:space="preserve">revised </w:t>
          </w:r>
          <w:r w:rsidR="004C0C46" w:rsidRPr="000D4A19">
            <w:rPr>
              <w:rFonts w:ascii="Calibri" w:eastAsiaTheme="majorEastAsia" w:hAnsi="Calibri" w:cstheme="majorBidi"/>
              <w:bCs/>
              <w:sz w:val="24"/>
              <w:szCs w:val="24"/>
              <w:lang w:val="en-GB"/>
            </w:rPr>
            <w:t>code of conduct</w:t>
          </w:r>
          <w:r w:rsidR="009E41C9" w:rsidRPr="000D4A19">
            <w:rPr>
              <w:rFonts w:ascii="Calibri" w:eastAsiaTheme="majorEastAsia" w:hAnsi="Calibri" w:cstheme="majorBidi"/>
              <w:bCs/>
              <w:sz w:val="24"/>
              <w:szCs w:val="24"/>
              <w:lang w:val="en-GB"/>
            </w:rPr>
            <w:t xml:space="preserve"> (see </w:t>
          </w:r>
          <w:r w:rsidR="009E41C9" w:rsidRPr="007A42EA">
            <w:rPr>
              <w:rFonts w:ascii="Calibri" w:eastAsiaTheme="majorEastAsia" w:hAnsi="Calibri" w:cstheme="majorBidi"/>
              <w:bCs/>
              <w:sz w:val="24"/>
              <w:szCs w:val="24"/>
              <w:lang w:val="en-GB"/>
            </w:rPr>
            <w:t xml:space="preserve">paragraph </w:t>
          </w:r>
          <w:r w:rsidR="0067037A" w:rsidRPr="007A42EA">
            <w:rPr>
              <w:rFonts w:ascii="Calibri" w:eastAsiaTheme="majorEastAsia" w:hAnsi="Calibri" w:cstheme="majorBidi"/>
              <w:bCs/>
              <w:sz w:val="24"/>
              <w:szCs w:val="24"/>
              <w:lang w:val="en-GB"/>
            </w:rPr>
            <w:t>11</w:t>
          </w:r>
          <w:r w:rsidR="00DD681C" w:rsidRPr="007A42EA">
            <w:rPr>
              <w:rFonts w:ascii="Calibri" w:eastAsiaTheme="majorEastAsia" w:hAnsi="Calibri" w:cstheme="majorBidi"/>
              <w:bCs/>
              <w:sz w:val="24"/>
              <w:szCs w:val="24"/>
              <w:lang w:val="en-GB"/>
            </w:rPr>
            <w:t>8</w:t>
          </w:r>
          <w:r w:rsidR="009E41C9" w:rsidRPr="007A42EA">
            <w:rPr>
              <w:rFonts w:ascii="Calibri" w:eastAsiaTheme="majorEastAsia" w:hAnsi="Calibri" w:cstheme="majorBidi"/>
              <w:bCs/>
              <w:sz w:val="24"/>
              <w:szCs w:val="24"/>
              <w:lang w:val="en-GB"/>
            </w:rPr>
            <w:t>)</w:t>
          </w:r>
          <w:r w:rsidR="00F30353" w:rsidRPr="007A42EA">
            <w:rPr>
              <w:rFonts w:ascii="Calibri" w:eastAsiaTheme="majorEastAsia" w:hAnsi="Calibri" w:cstheme="majorBidi"/>
              <w:bCs/>
              <w:sz w:val="24"/>
              <w:szCs w:val="24"/>
              <w:lang w:val="en-GB"/>
            </w:rPr>
            <w:t>, with</w:t>
          </w:r>
          <w:r w:rsidR="00F30353" w:rsidRPr="000D4A19">
            <w:rPr>
              <w:rFonts w:ascii="Calibri" w:eastAsiaTheme="majorEastAsia" w:hAnsi="Calibri" w:cstheme="majorBidi"/>
              <w:bCs/>
              <w:sz w:val="24"/>
              <w:szCs w:val="24"/>
              <w:lang w:val="en-GB"/>
            </w:rPr>
            <w:t xml:space="preserve"> practical examples of situations in which such conflicts of interests may occur in daily police routines and possible way</w:t>
          </w:r>
          <w:r w:rsidR="00526266" w:rsidRPr="000D4A19">
            <w:rPr>
              <w:rFonts w:ascii="Calibri" w:eastAsiaTheme="majorEastAsia" w:hAnsi="Calibri" w:cstheme="majorBidi"/>
              <w:bCs/>
              <w:sz w:val="24"/>
              <w:szCs w:val="24"/>
              <w:lang w:val="en-GB"/>
            </w:rPr>
            <w:t>s</w:t>
          </w:r>
          <w:r w:rsidR="00F30353" w:rsidRPr="000D4A19">
            <w:rPr>
              <w:rFonts w:ascii="Calibri" w:eastAsiaTheme="majorEastAsia" w:hAnsi="Calibri" w:cstheme="majorBidi"/>
              <w:bCs/>
              <w:sz w:val="24"/>
              <w:szCs w:val="24"/>
              <w:lang w:val="en-GB"/>
            </w:rPr>
            <w:t xml:space="preserve"> and internal channels to address them. </w:t>
          </w:r>
        </w:p>
        <w:p w14:paraId="48CA3B13" w14:textId="77777777" w:rsidR="00F30353" w:rsidRPr="000D4A19" w:rsidRDefault="00F30353" w:rsidP="00F30353">
          <w:pPr>
            <w:tabs>
              <w:tab w:val="left" w:pos="709"/>
              <w:tab w:val="num" w:pos="8222"/>
            </w:tabs>
            <w:spacing w:after="0" w:line="240" w:lineRule="auto"/>
            <w:jc w:val="both"/>
            <w:rPr>
              <w:rFonts w:cstheme="minorHAnsi"/>
              <w:sz w:val="24"/>
              <w:szCs w:val="24"/>
              <w:lang w:val="en-GB"/>
            </w:rPr>
          </w:pPr>
        </w:p>
        <w:p w14:paraId="2A13EBA2" w14:textId="77777777" w:rsidR="009919AC" w:rsidRPr="000D4A19" w:rsidRDefault="009919AC" w:rsidP="00E37439">
          <w:pPr>
            <w:pStyle w:val="Naslov2"/>
            <w:keepLines w:val="0"/>
            <w:tabs>
              <w:tab w:val="left" w:pos="709"/>
            </w:tabs>
            <w:spacing w:before="0" w:line="240" w:lineRule="auto"/>
            <w:jc w:val="both"/>
            <w:rPr>
              <w:rFonts w:asciiTheme="minorHAnsi" w:hAnsiTheme="minorHAnsi"/>
              <w:color w:val="auto"/>
              <w:sz w:val="24"/>
              <w:szCs w:val="24"/>
              <w:u w:val="single"/>
              <w:lang w:val="en-GB"/>
            </w:rPr>
          </w:pPr>
          <w:bookmarkStart w:id="195" w:name="_Toc4762889"/>
          <w:bookmarkStart w:id="196" w:name="_Toc25229335"/>
          <w:r w:rsidRPr="000D4A19">
            <w:rPr>
              <w:rFonts w:asciiTheme="minorHAnsi" w:hAnsiTheme="minorHAnsi"/>
              <w:color w:val="auto"/>
              <w:sz w:val="24"/>
              <w:szCs w:val="24"/>
              <w:u w:val="single"/>
              <w:lang w:val="en-GB"/>
            </w:rPr>
            <w:t>Prohibition or restriction of certain activities</w:t>
          </w:r>
          <w:bookmarkEnd w:id="195"/>
          <w:bookmarkEnd w:id="196"/>
        </w:p>
        <w:p w14:paraId="098A08E3" w14:textId="77777777" w:rsidR="009919AC" w:rsidRPr="000D4A19" w:rsidRDefault="009919AC" w:rsidP="00E37439">
          <w:pPr>
            <w:keepNext/>
            <w:spacing w:after="0" w:line="240" w:lineRule="auto"/>
            <w:rPr>
              <w:lang w:val="en-GB"/>
            </w:rPr>
          </w:pPr>
        </w:p>
        <w:p w14:paraId="0F83A4AA" w14:textId="77777777" w:rsidR="009919AC" w:rsidRPr="000D4A19" w:rsidRDefault="009919AC" w:rsidP="00E37439">
          <w:pPr>
            <w:pStyle w:val="Naslov3"/>
            <w:keepLines w:val="0"/>
            <w:tabs>
              <w:tab w:val="left" w:pos="709"/>
            </w:tabs>
            <w:spacing w:before="0" w:line="240" w:lineRule="auto"/>
            <w:rPr>
              <w:rFonts w:asciiTheme="minorHAnsi" w:hAnsiTheme="minorHAnsi"/>
              <w:b w:val="0"/>
              <w:i/>
              <w:color w:val="auto"/>
              <w:sz w:val="24"/>
              <w:szCs w:val="24"/>
              <w:lang w:val="en-GB"/>
            </w:rPr>
          </w:pPr>
          <w:bookmarkStart w:id="197" w:name="_Toc530666012"/>
          <w:bookmarkStart w:id="198" w:name="_Toc4762890"/>
          <w:bookmarkStart w:id="199" w:name="_Toc25229336"/>
          <w:bookmarkEnd w:id="194"/>
          <w:r w:rsidRPr="000D4A19">
            <w:rPr>
              <w:rFonts w:asciiTheme="minorHAnsi" w:hAnsiTheme="minorHAnsi"/>
              <w:b w:val="0"/>
              <w:i/>
              <w:color w:val="auto"/>
              <w:sz w:val="24"/>
              <w:szCs w:val="24"/>
              <w:lang w:val="en-GB"/>
            </w:rPr>
            <w:t xml:space="preserve">Incompatibilities, outside activities and </w:t>
          </w:r>
          <w:bookmarkEnd w:id="197"/>
          <w:r w:rsidRPr="000D4A19">
            <w:rPr>
              <w:rFonts w:asciiTheme="minorHAnsi" w:hAnsiTheme="minorHAnsi"/>
              <w:b w:val="0"/>
              <w:i/>
              <w:color w:val="auto"/>
              <w:sz w:val="24"/>
              <w:szCs w:val="24"/>
              <w:lang w:val="en-GB"/>
            </w:rPr>
            <w:t>post-employment restrictions</w:t>
          </w:r>
          <w:bookmarkEnd w:id="198"/>
          <w:bookmarkEnd w:id="199"/>
        </w:p>
        <w:p w14:paraId="4850CA13" w14:textId="77777777" w:rsidR="009919AC" w:rsidRPr="000D4A19" w:rsidRDefault="009919AC" w:rsidP="00E37439">
          <w:pPr>
            <w:keepNext/>
            <w:spacing w:after="0" w:line="240" w:lineRule="auto"/>
            <w:jc w:val="both"/>
            <w:rPr>
              <w:rFonts w:cstheme="minorHAnsi"/>
              <w:sz w:val="24"/>
              <w:szCs w:val="24"/>
              <w:lang w:val="en-GB"/>
            </w:rPr>
          </w:pPr>
        </w:p>
        <w:p w14:paraId="5E651D35" w14:textId="496B56AA" w:rsidR="009919AC" w:rsidRPr="000D4A19" w:rsidRDefault="009919AC" w:rsidP="00E37439">
          <w:pPr>
            <w:keepNext/>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Pursuant to the Civil Servants Act, police officers and other civil servants working for the police may not establish a company or other legal person to operate in the field of activity in which s/he is employed as a civil servant or the field of activities under the jurisdiction of the body in which s/he is employed (Article 32, Civil Servants Act). Civil servants are</w:t>
          </w:r>
          <w:r w:rsidR="00526266" w:rsidRPr="000D4A19">
            <w:rPr>
              <w:rFonts w:cstheme="minorHAnsi"/>
              <w:sz w:val="24"/>
              <w:szCs w:val="24"/>
              <w:lang w:val="en-GB"/>
            </w:rPr>
            <w:t>,</w:t>
          </w:r>
          <w:r w:rsidRPr="000D4A19">
            <w:rPr>
              <w:rFonts w:cstheme="minorHAnsi"/>
              <w:sz w:val="24"/>
              <w:szCs w:val="24"/>
              <w:lang w:val="en-GB"/>
            </w:rPr>
            <w:t xml:space="preserve"> however</w:t>
          </w:r>
          <w:r w:rsidR="00526266" w:rsidRPr="000D4A19">
            <w:rPr>
              <w:rFonts w:cstheme="minorHAnsi"/>
              <w:sz w:val="24"/>
              <w:szCs w:val="24"/>
              <w:lang w:val="en-GB"/>
            </w:rPr>
            <w:t>,</w:t>
          </w:r>
          <w:r w:rsidRPr="000D4A19">
            <w:rPr>
              <w:rFonts w:cstheme="minorHAnsi"/>
              <w:sz w:val="24"/>
              <w:szCs w:val="24"/>
              <w:lang w:val="en-GB"/>
            </w:rPr>
            <w:t xml:space="preserve"> allowed to perform tasks or render services to a legal or natural person, if the activities or operations of the legal or natural person in question are not overseen by the state body for which s/he works or if this work is not prohibited by separate legislation and does not constitute a conflict of interests (Article 33, Civil Servants Act). Such outside activities are</w:t>
          </w:r>
          <w:r w:rsidR="00526266" w:rsidRPr="000D4A19">
            <w:rPr>
              <w:rFonts w:cstheme="minorHAnsi"/>
              <w:sz w:val="24"/>
              <w:szCs w:val="24"/>
              <w:lang w:val="en-GB"/>
            </w:rPr>
            <w:t>,</w:t>
          </w:r>
          <w:r w:rsidRPr="000D4A19">
            <w:rPr>
              <w:rFonts w:cstheme="minorHAnsi"/>
              <w:sz w:val="24"/>
              <w:szCs w:val="24"/>
              <w:lang w:val="en-GB"/>
            </w:rPr>
            <w:t xml:space="preserve"> however</w:t>
          </w:r>
          <w:r w:rsidR="00526266" w:rsidRPr="000D4A19">
            <w:rPr>
              <w:rFonts w:cstheme="minorHAnsi"/>
              <w:sz w:val="24"/>
              <w:szCs w:val="24"/>
              <w:lang w:val="en-GB"/>
            </w:rPr>
            <w:t>,</w:t>
          </w:r>
          <w:r w:rsidRPr="000D4A19">
            <w:rPr>
              <w:rFonts w:cstheme="minorHAnsi"/>
              <w:sz w:val="24"/>
              <w:szCs w:val="24"/>
              <w:lang w:val="en-GB"/>
            </w:rPr>
            <w:t xml:space="preserve"> only allowed to be performed with the permission of the head of the state body in question (with the exception of activities involving the publication of academic articles and other publications, lectures and consultations, for which no prior approval is required). Furthermore, a </w:t>
          </w:r>
          <w:r w:rsidRPr="000D4A19">
            <w:rPr>
              <w:rFonts w:eastAsia="DejaVu Sans" w:cs="Arial"/>
              <w:sz w:val="24"/>
              <w:szCs w:val="24"/>
              <w:lang w:val="en-GB" w:bidi="en-US"/>
            </w:rPr>
            <w:t>civil servant may not be a member of executive or supervisory bodies of companies or other legal persons if the latter are subject to oversight by the State body in which s</w:t>
          </w:r>
          <w:r w:rsidR="00526266" w:rsidRPr="000D4A19">
            <w:rPr>
              <w:rFonts w:eastAsia="DejaVu Sans" w:cs="Arial"/>
              <w:sz w:val="24"/>
              <w:szCs w:val="24"/>
              <w:lang w:val="en-GB" w:bidi="en-US"/>
            </w:rPr>
            <w:t>/</w:t>
          </w:r>
          <w:r w:rsidRPr="000D4A19">
            <w:rPr>
              <w:rFonts w:eastAsia="DejaVu Sans" w:cs="Arial"/>
              <w:sz w:val="24"/>
              <w:szCs w:val="24"/>
              <w:lang w:val="en-GB" w:bidi="en-US"/>
            </w:rPr>
            <w:t xml:space="preserve">he is employed and may not conduct administrative oversight of companies or other legal persons in whose operation </w:t>
          </w:r>
          <w:r w:rsidR="0047711C" w:rsidRPr="000D4A19">
            <w:rPr>
              <w:rFonts w:eastAsia="DejaVu Sans" w:cs="Arial"/>
              <w:sz w:val="24"/>
              <w:szCs w:val="24"/>
              <w:lang w:val="en-GB" w:bidi="en-US"/>
            </w:rPr>
            <w:t>s/</w:t>
          </w:r>
          <w:r w:rsidRPr="000D4A19">
            <w:rPr>
              <w:rFonts w:eastAsia="DejaVu Sans" w:cs="Arial"/>
              <w:sz w:val="24"/>
              <w:szCs w:val="24"/>
              <w:lang w:val="en-GB" w:bidi="en-US"/>
            </w:rPr>
            <w:t xml:space="preserve">he participates. In addition, s/he is prohibited during working hours from encouraging other civil servants to join in the work of political parties. </w:t>
          </w:r>
        </w:p>
        <w:p w14:paraId="79FAB7BC" w14:textId="77777777" w:rsidR="00AB54F4" w:rsidRPr="000D4A19" w:rsidRDefault="00AB54F4" w:rsidP="00AB54F4">
          <w:pPr>
            <w:tabs>
              <w:tab w:val="left" w:pos="709"/>
              <w:tab w:val="num" w:pos="8222"/>
            </w:tabs>
            <w:spacing w:after="0" w:line="240" w:lineRule="auto"/>
            <w:jc w:val="both"/>
            <w:rPr>
              <w:rFonts w:cstheme="minorHAnsi"/>
              <w:sz w:val="24"/>
              <w:szCs w:val="24"/>
              <w:lang w:val="en-GB"/>
            </w:rPr>
          </w:pPr>
        </w:p>
        <w:p w14:paraId="7058D9B2" w14:textId="1749E26E"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The Police Act, which is a </w:t>
          </w:r>
          <w:r w:rsidRPr="000D4A19">
            <w:rPr>
              <w:rFonts w:cstheme="minorHAnsi"/>
              <w:i/>
              <w:sz w:val="24"/>
              <w:szCs w:val="24"/>
              <w:lang w:val="en-GB"/>
            </w:rPr>
            <w:t xml:space="preserve">lex specialis </w:t>
          </w:r>
          <w:r w:rsidRPr="000D4A19">
            <w:rPr>
              <w:rFonts w:cstheme="minorHAnsi"/>
              <w:sz w:val="24"/>
              <w:szCs w:val="24"/>
              <w:lang w:val="en-GB"/>
            </w:rPr>
            <w:t xml:space="preserve">to the Civil Servants Act, is however more restrictive than the Civil Servants Act and provides that police officers may not perform independent economic or professional </w:t>
          </w:r>
          <w:r w:rsidR="0047711C" w:rsidRPr="000D4A19">
            <w:rPr>
              <w:rFonts w:cstheme="minorHAnsi"/>
              <w:sz w:val="24"/>
              <w:szCs w:val="24"/>
              <w:lang w:val="en-GB"/>
            </w:rPr>
            <w:t>activities or</w:t>
          </w:r>
          <w:r w:rsidRPr="000D4A19">
            <w:rPr>
              <w:rFonts w:cstheme="minorHAnsi"/>
              <w:sz w:val="24"/>
              <w:szCs w:val="24"/>
              <w:lang w:val="en-GB"/>
            </w:rPr>
            <w:t xml:space="preserve"> perform work or render services to a legal or natural person (Article 37, Police Act). Similar to the Civil Servants Act, exceptions can be made for work (independently or in a legal or natural person) outside regular working hours, if s/he has first obtained written approval of the Director General (or a person designated by him/her) and if the work does not affect the lawful and proper performance of police work. The procedure for authorising such outside activities is laid down in the Ordinance </w:t>
          </w:r>
          <w:r w:rsidR="0047711C" w:rsidRPr="000D4A19">
            <w:rPr>
              <w:rFonts w:cstheme="minorHAnsi"/>
              <w:sz w:val="24"/>
              <w:szCs w:val="24"/>
              <w:lang w:val="en-GB"/>
            </w:rPr>
            <w:t>“O</w:t>
          </w:r>
          <w:r w:rsidRPr="000D4A19">
            <w:rPr>
              <w:rFonts w:cstheme="minorHAnsi"/>
              <w:sz w:val="24"/>
              <w:szCs w:val="24"/>
              <w:lang w:val="en-GB"/>
            </w:rPr>
            <w:t>n the procedure of issuing authorisation to a police officer for performing an independent economic or professional activity or providing services to a legal or natural person</w:t>
          </w:r>
          <w:r w:rsidR="0047711C" w:rsidRPr="000D4A19">
            <w:rPr>
              <w:rFonts w:cstheme="minorHAnsi"/>
              <w:sz w:val="24"/>
              <w:szCs w:val="24"/>
              <w:lang w:val="en-GB"/>
            </w:rPr>
            <w:t>”</w:t>
          </w:r>
          <w:r w:rsidRPr="000D4A19">
            <w:rPr>
              <w:rFonts w:cstheme="minorHAnsi"/>
              <w:sz w:val="24"/>
              <w:szCs w:val="24"/>
              <w:lang w:val="en-GB"/>
            </w:rPr>
            <w:t xml:space="preserve"> (Official Gazette No. 34/2011).</w:t>
          </w:r>
          <w:r w:rsidR="00932680" w:rsidRPr="000D4A19">
            <w:rPr>
              <w:rFonts w:cstheme="minorHAnsi"/>
              <w:sz w:val="24"/>
              <w:szCs w:val="24"/>
              <w:lang w:val="en-GB"/>
            </w:rPr>
            <w:t xml:space="preserve"> </w:t>
          </w:r>
        </w:p>
        <w:p w14:paraId="1BA47A3A" w14:textId="77777777" w:rsidR="009919AC" w:rsidRPr="000D4A19" w:rsidRDefault="009919AC" w:rsidP="004B7CAB">
          <w:pPr>
            <w:tabs>
              <w:tab w:val="left" w:pos="1143"/>
            </w:tabs>
            <w:spacing w:after="0" w:line="240" w:lineRule="auto"/>
            <w:ind w:left="1137"/>
            <w:rPr>
              <w:rFonts w:eastAsia="Calibri" w:cs="Arial"/>
              <w:i/>
              <w:sz w:val="24"/>
              <w:szCs w:val="24"/>
              <w:highlight w:val="yellow"/>
              <w:lang w:val="en-GB" w:bidi="en-US"/>
            </w:rPr>
          </w:pPr>
        </w:p>
        <w:p w14:paraId="0FF1C097" w14:textId="4C905CFE"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Furthermore, </w:t>
          </w:r>
          <w:r w:rsidR="00E37439" w:rsidRPr="000D4A19">
            <w:rPr>
              <w:rFonts w:cstheme="minorHAnsi"/>
              <w:sz w:val="24"/>
              <w:szCs w:val="24"/>
              <w:lang w:val="en-GB"/>
            </w:rPr>
            <w:t xml:space="preserve">the GET noted that </w:t>
          </w:r>
          <w:r w:rsidRPr="000D4A19">
            <w:rPr>
              <w:rFonts w:cstheme="minorHAnsi"/>
              <w:sz w:val="24"/>
              <w:szCs w:val="24"/>
              <w:lang w:val="en-GB"/>
            </w:rPr>
            <w:t>police officers may not be members of political parties, be politically active within the Ministry or be a candidate in state or local elections (Article 38, Police Act).</w:t>
          </w:r>
          <w:r w:rsidR="00E37439" w:rsidRPr="000D4A19">
            <w:rPr>
              <w:rStyle w:val="Referencafusnote"/>
              <w:rFonts w:cstheme="minorHAnsi"/>
              <w:sz w:val="24"/>
              <w:szCs w:val="24"/>
              <w:lang w:val="en-GB"/>
            </w:rPr>
            <w:footnoteReference w:id="65"/>
          </w:r>
          <w:r w:rsidR="00E37439" w:rsidRPr="000D4A19">
            <w:rPr>
              <w:rFonts w:cstheme="minorHAnsi"/>
              <w:sz w:val="24"/>
              <w:szCs w:val="24"/>
              <w:lang w:val="en-GB"/>
            </w:rPr>
            <w:t xml:space="preserve"> </w:t>
          </w:r>
          <w:r w:rsidRPr="000D4A19">
            <w:rPr>
              <w:rFonts w:cstheme="minorHAnsi"/>
              <w:sz w:val="24"/>
              <w:szCs w:val="24"/>
              <w:lang w:val="en-GB"/>
            </w:rPr>
            <w:t xml:space="preserve">A police officer who is found to be a member of a political party will be transferred to a vacant post as a civil servant in the Ministry of the Interior. </w:t>
          </w:r>
        </w:p>
        <w:p w14:paraId="1095A5AD" w14:textId="77777777" w:rsidR="007363D7" w:rsidRPr="000D4A19" w:rsidRDefault="007363D7" w:rsidP="007363D7">
          <w:pPr>
            <w:tabs>
              <w:tab w:val="left" w:pos="709"/>
              <w:tab w:val="num" w:pos="8222"/>
            </w:tabs>
            <w:spacing w:after="0" w:line="240" w:lineRule="auto"/>
            <w:jc w:val="both"/>
            <w:rPr>
              <w:rFonts w:cstheme="minorHAnsi"/>
              <w:sz w:val="24"/>
              <w:szCs w:val="24"/>
              <w:lang w:val="en-GB"/>
            </w:rPr>
          </w:pPr>
        </w:p>
        <w:p w14:paraId="236B37A4" w14:textId="3F75FF4A" w:rsidR="00AA6D96" w:rsidDel="00AA6D96" w:rsidRDefault="004C0C46" w:rsidP="00715CBC">
          <w:pPr>
            <w:numPr>
              <w:ilvl w:val="0"/>
              <w:numId w:val="1"/>
            </w:numPr>
            <w:tabs>
              <w:tab w:val="left" w:pos="709"/>
            </w:tabs>
            <w:spacing w:after="0" w:line="240" w:lineRule="auto"/>
            <w:ind w:left="0" w:firstLine="0"/>
            <w:jc w:val="both"/>
            <w:rPr>
              <w:rFonts w:cstheme="minorHAnsi"/>
              <w:sz w:val="24"/>
              <w:szCs w:val="24"/>
              <w:lang w:val="en-GB"/>
            </w:rPr>
          </w:pPr>
          <w:r w:rsidRPr="000D4A19">
            <w:rPr>
              <w:rFonts w:cstheme="minorHAnsi"/>
              <w:sz w:val="24"/>
              <w:szCs w:val="24"/>
              <w:lang w:val="en-GB"/>
            </w:rPr>
            <w:t>Whe</w:t>
          </w:r>
          <w:r w:rsidR="007363D7" w:rsidRPr="000D4A19">
            <w:rPr>
              <w:rFonts w:cstheme="minorHAnsi"/>
              <w:sz w:val="24"/>
              <w:szCs w:val="24"/>
              <w:lang w:val="en-GB"/>
            </w:rPr>
            <w:t xml:space="preserve">n discussing this issue on-site, the GET was told that it was quite common for police officers to perform other remunerated activities outside working hours, due to the </w:t>
          </w:r>
          <w:r w:rsidR="00932680" w:rsidRPr="000D4A19">
            <w:rPr>
              <w:rFonts w:cstheme="minorHAnsi"/>
              <w:sz w:val="24"/>
              <w:szCs w:val="24"/>
              <w:lang w:val="en-GB"/>
            </w:rPr>
            <w:t>relatively low salaries of police officers.</w:t>
          </w:r>
          <w:r w:rsidR="00513722">
            <w:rPr>
              <w:rStyle w:val="Referencafusnote"/>
              <w:rFonts w:cstheme="minorHAnsi"/>
              <w:sz w:val="24"/>
              <w:szCs w:val="24"/>
              <w:lang w:val="en-GB"/>
            </w:rPr>
            <w:footnoteReference w:id="66"/>
          </w:r>
          <w:r w:rsidR="00932680" w:rsidRPr="000D4A19">
            <w:rPr>
              <w:rFonts w:cstheme="minorHAnsi"/>
              <w:sz w:val="24"/>
              <w:szCs w:val="24"/>
              <w:lang w:val="en-GB"/>
            </w:rPr>
            <w:t xml:space="preserve"> </w:t>
          </w:r>
          <w:r w:rsidR="00AA6D96">
            <w:rPr>
              <w:rFonts w:cstheme="minorHAnsi"/>
              <w:sz w:val="24"/>
              <w:szCs w:val="24"/>
              <w:lang w:val="en-GB"/>
            </w:rPr>
            <w:t>A</w:t>
          </w:r>
          <w:r w:rsidR="00513722">
            <w:rPr>
              <w:rFonts w:cstheme="minorHAnsi"/>
              <w:sz w:val="24"/>
              <w:szCs w:val="24"/>
              <w:lang w:val="en-GB"/>
            </w:rPr>
            <w:t xml:space="preserve">uthorisations for engaging in secondary activities </w:t>
          </w:r>
          <w:r w:rsidR="00AA6D96">
            <w:rPr>
              <w:rFonts w:cstheme="minorHAnsi"/>
              <w:sz w:val="24"/>
              <w:szCs w:val="24"/>
              <w:lang w:val="en-GB"/>
            </w:rPr>
            <w:t xml:space="preserve">are usually granted for a one year period (after which a police officer must again obtain written approval from the Director General) and are centrally registered. The GET learned that in authorising secondary activities particular attention was being paid to risks of conflicts of interest. </w:t>
          </w:r>
        </w:p>
        <w:p w14:paraId="26956D21" w14:textId="351DA073" w:rsidR="00864C8A" w:rsidRPr="000D4A19" w:rsidRDefault="00864C8A" w:rsidP="00715CBC">
          <w:pPr>
            <w:tabs>
              <w:tab w:val="left" w:pos="709"/>
            </w:tabs>
            <w:spacing w:after="0" w:line="240" w:lineRule="auto"/>
            <w:jc w:val="both"/>
            <w:rPr>
              <w:rFonts w:cstheme="minorHAnsi"/>
              <w:sz w:val="24"/>
              <w:szCs w:val="24"/>
              <w:lang w:val="en-GB"/>
            </w:rPr>
          </w:pPr>
          <w:bookmarkStart w:id="200" w:name="_Hlk22745799"/>
        </w:p>
        <w:bookmarkEnd w:id="200"/>
        <w:p w14:paraId="310AF384" w14:textId="65649AD0" w:rsidR="00C60D71" w:rsidRPr="000D4A19" w:rsidRDefault="009919AC" w:rsidP="00587EE0">
          <w:pPr>
            <w:numPr>
              <w:ilvl w:val="0"/>
              <w:numId w:val="1"/>
            </w:numPr>
            <w:tabs>
              <w:tab w:val="left" w:pos="709"/>
              <w:tab w:val="num" w:pos="1557"/>
              <w:tab w:val="num" w:pos="8222"/>
            </w:tabs>
            <w:spacing w:after="0" w:line="240" w:lineRule="auto"/>
            <w:ind w:left="0" w:firstLine="0"/>
            <w:jc w:val="both"/>
            <w:rPr>
              <w:rFonts w:cstheme="minorHAnsi"/>
              <w:b/>
              <w:sz w:val="24"/>
              <w:szCs w:val="24"/>
              <w:lang w:val="en-GB"/>
            </w:rPr>
          </w:pPr>
          <w:r w:rsidRPr="000D4A19">
            <w:rPr>
              <w:rFonts w:cstheme="minorHAnsi"/>
              <w:sz w:val="24"/>
              <w:szCs w:val="24"/>
              <w:lang w:val="en-GB"/>
            </w:rPr>
            <w:t xml:space="preserve">There are no </w:t>
          </w:r>
          <w:r w:rsidRPr="000D4A19">
            <w:rPr>
              <w:rFonts w:cstheme="minorHAnsi"/>
              <w:sz w:val="24"/>
              <w:szCs w:val="24"/>
              <w:u w:val="single"/>
              <w:lang w:val="en-GB"/>
            </w:rPr>
            <w:t>post-employment restrictions</w:t>
          </w:r>
          <w:r w:rsidRPr="000D4A19">
            <w:rPr>
              <w:rFonts w:cstheme="minorHAnsi"/>
              <w:sz w:val="24"/>
              <w:szCs w:val="24"/>
              <w:lang w:val="en-GB"/>
            </w:rPr>
            <w:t xml:space="preserve"> for police officers and other civil servants working for the police. </w:t>
          </w:r>
          <w:r w:rsidR="00C60D71" w:rsidRPr="000D4A19">
            <w:rPr>
              <w:rFonts w:cstheme="minorHAnsi"/>
              <w:sz w:val="24"/>
              <w:szCs w:val="24"/>
              <w:lang w:val="en-GB"/>
            </w:rPr>
            <w:t>In this regard, the GET acknowledges that certain specialist skills and knowledge police officers can bring to the private sector can be invaluable and</w:t>
          </w:r>
          <w:r w:rsidR="00986EBF" w:rsidRPr="000D4A19">
            <w:rPr>
              <w:rFonts w:cstheme="minorHAnsi"/>
              <w:sz w:val="24"/>
              <w:szCs w:val="24"/>
              <w:lang w:val="en-GB"/>
            </w:rPr>
            <w:t xml:space="preserve"> provide welcome employment opportunities for (former) police officers. </w:t>
          </w:r>
          <w:r w:rsidR="00C60D71" w:rsidRPr="000D4A19">
            <w:rPr>
              <w:rFonts w:cstheme="minorHAnsi"/>
              <w:sz w:val="24"/>
              <w:szCs w:val="24"/>
              <w:lang w:val="en-GB"/>
            </w:rPr>
            <w:t>At the same time, however, moves to the private sector by police specialists can entail certain risks</w:t>
          </w:r>
          <w:r w:rsidR="0047711C" w:rsidRPr="000D4A19">
            <w:rPr>
              <w:rFonts w:cstheme="minorHAnsi"/>
              <w:sz w:val="24"/>
              <w:szCs w:val="24"/>
              <w:lang w:val="en-GB"/>
            </w:rPr>
            <w:t xml:space="preserve"> (</w:t>
          </w:r>
          <w:r w:rsidR="00C60D71" w:rsidRPr="000D4A19">
            <w:rPr>
              <w:rFonts w:cstheme="minorHAnsi"/>
              <w:sz w:val="24"/>
              <w:szCs w:val="24"/>
              <w:lang w:val="en-GB"/>
            </w:rPr>
            <w:t>for example</w:t>
          </w:r>
          <w:r w:rsidR="0047711C" w:rsidRPr="000D4A19">
            <w:rPr>
              <w:rFonts w:cstheme="minorHAnsi"/>
              <w:sz w:val="24"/>
              <w:szCs w:val="24"/>
              <w:lang w:val="en-GB"/>
            </w:rPr>
            <w:t xml:space="preserve">, </w:t>
          </w:r>
          <w:r w:rsidR="00C60D71" w:rsidRPr="000D4A19">
            <w:rPr>
              <w:rFonts w:cstheme="minorHAnsi"/>
              <w:sz w:val="24"/>
              <w:szCs w:val="24"/>
              <w:lang w:val="en-GB"/>
            </w:rPr>
            <w:t xml:space="preserve">that certain information gained in the police service is misused, that </w:t>
          </w:r>
          <w:r w:rsidR="00FC6A16" w:rsidRPr="000D4A19">
            <w:rPr>
              <w:rFonts w:cstheme="minorHAnsi"/>
              <w:sz w:val="24"/>
              <w:szCs w:val="24"/>
              <w:lang w:val="en-GB"/>
            </w:rPr>
            <w:t>a police officer is influenced in the exercise of his authority by the hope or expectation of future employment or that communication channels with former colleagues are being used for the unwarranted benefit of the new employer</w:t>
          </w:r>
          <w:r w:rsidR="0047711C" w:rsidRPr="000D4A19">
            <w:rPr>
              <w:rFonts w:cstheme="minorHAnsi"/>
              <w:sz w:val="24"/>
              <w:szCs w:val="24"/>
              <w:lang w:val="en-GB"/>
            </w:rPr>
            <w:t>)</w:t>
          </w:r>
          <w:r w:rsidR="00FC6A16" w:rsidRPr="000D4A19">
            <w:rPr>
              <w:rFonts w:cstheme="minorHAnsi"/>
              <w:sz w:val="24"/>
              <w:szCs w:val="24"/>
              <w:lang w:val="en-GB"/>
            </w:rPr>
            <w:t xml:space="preserve">. The GET points out that </w:t>
          </w:r>
          <w:r w:rsidR="00986EBF" w:rsidRPr="000D4A19">
            <w:rPr>
              <w:rFonts w:cstheme="minorHAnsi"/>
              <w:sz w:val="24"/>
              <w:szCs w:val="24"/>
              <w:lang w:val="en-GB"/>
            </w:rPr>
            <w:t>Recommendation No. R (2000)</w:t>
          </w:r>
          <w:r w:rsidR="00526266" w:rsidRPr="000D4A19">
            <w:rPr>
              <w:rFonts w:cstheme="minorHAnsi"/>
              <w:sz w:val="24"/>
              <w:szCs w:val="24"/>
              <w:lang w:val="en-GB"/>
            </w:rPr>
            <w:t xml:space="preserve"> </w:t>
          </w:r>
          <w:r w:rsidR="00986EBF" w:rsidRPr="000D4A19">
            <w:rPr>
              <w:rFonts w:cstheme="minorHAnsi"/>
              <w:sz w:val="24"/>
              <w:szCs w:val="24"/>
              <w:lang w:val="en-GB"/>
            </w:rPr>
            <w:t xml:space="preserve">10 on Codes of Conduct for Public Officials includes special guidelines on leaving the public service (Article 26). </w:t>
          </w:r>
          <w:r w:rsidR="00587EE0" w:rsidRPr="000D4A19">
            <w:rPr>
              <w:rFonts w:cstheme="minorHAnsi"/>
              <w:sz w:val="24"/>
              <w:szCs w:val="24"/>
              <w:lang w:val="en-GB"/>
            </w:rPr>
            <w:t xml:space="preserve"> </w:t>
          </w:r>
          <w:r w:rsidR="00C60D71" w:rsidRPr="000D4A19">
            <w:rPr>
              <w:rFonts w:cstheme="minorHAnsi"/>
              <w:sz w:val="24"/>
              <w:szCs w:val="24"/>
              <w:lang w:val="en-GB"/>
            </w:rPr>
            <w:t xml:space="preserve">As from the information gathered during the on-site visit, it was unclear how much of an issue this is in Croatia, </w:t>
          </w:r>
          <w:r w:rsidR="00C60D71" w:rsidRPr="000D4A19">
            <w:rPr>
              <w:rFonts w:cstheme="minorHAnsi"/>
              <w:b/>
              <w:sz w:val="24"/>
              <w:szCs w:val="24"/>
              <w:lang w:val="en-GB"/>
            </w:rPr>
            <w:t>GRECO recommends</w:t>
          </w:r>
          <w:r w:rsidR="00587EE0" w:rsidRPr="000D4A19">
            <w:rPr>
              <w:rFonts w:cstheme="minorHAnsi"/>
              <w:b/>
              <w:sz w:val="24"/>
              <w:szCs w:val="24"/>
              <w:lang w:val="en-GB"/>
            </w:rPr>
            <w:t xml:space="preserve"> </w:t>
          </w:r>
          <w:bookmarkStart w:id="201" w:name="_Hlk26535979"/>
          <w:bookmarkStart w:id="202" w:name="_Hlk22745811"/>
          <w:r w:rsidR="00587EE0" w:rsidRPr="000D4A19">
            <w:rPr>
              <w:rFonts w:cstheme="minorHAnsi"/>
              <w:b/>
              <w:sz w:val="24"/>
              <w:szCs w:val="24"/>
              <w:lang w:val="en-GB"/>
            </w:rPr>
            <w:t>that a study be conducted concerning the activities of police officers after they leave the police and that, if necessary in light of the findings of this study, rules be adopted to ensure transparency and limit the risks of conflicts of interest</w:t>
          </w:r>
          <w:bookmarkEnd w:id="201"/>
          <w:r w:rsidR="00587EE0" w:rsidRPr="000D4A19">
            <w:rPr>
              <w:rFonts w:cstheme="minorHAnsi"/>
              <w:sz w:val="24"/>
              <w:szCs w:val="24"/>
              <w:lang w:val="en-GB"/>
            </w:rPr>
            <w:t xml:space="preserve">. </w:t>
          </w:r>
          <w:bookmarkEnd w:id="202"/>
        </w:p>
        <w:p w14:paraId="5927B398" w14:textId="77777777" w:rsidR="00C60D71" w:rsidRPr="000D4A19" w:rsidRDefault="00C60D71" w:rsidP="004B7CAB">
          <w:pPr>
            <w:spacing w:after="0" w:line="240" w:lineRule="auto"/>
            <w:rPr>
              <w:rFonts w:cstheme="minorHAnsi"/>
              <w:sz w:val="24"/>
              <w:szCs w:val="24"/>
              <w:highlight w:val="yellow"/>
              <w:lang w:val="en-GB"/>
            </w:rPr>
          </w:pPr>
        </w:p>
        <w:p w14:paraId="4EE50465"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203" w:name="_Toc4762891"/>
          <w:bookmarkStart w:id="204" w:name="_Toc25229337"/>
          <w:bookmarkStart w:id="205" w:name="_Toc342554314"/>
          <w:bookmarkStart w:id="206" w:name="_Toc342640989"/>
          <w:bookmarkStart w:id="207" w:name="_Toc484088354"/>
          <w:r w:rsidRPr="000D4A19">
            <w:rPr>
              <w:rFonts w:asciiTheme="minorHAnsi" w:hAnsiTheme="minorHAnsi"/>
              <w:b w:val="0"/>
              <w:i/>
              <w:color w:val="auto"/>
              <w:sz w:val="24"/>
              <w:szCs w:val="24"/>
              <w:lang w:val="en-GB"/>
            </w:rPr>
            <w:t>Gifts</w:t>
          </w:r>
          <w:bookmarkEnd w:id="203"/>
          <w:bookmarkEnd w:id="204"/>
        </w:p>
        <w:bookmarkEnd w:id="205"/>
        <w:bookmarkEnd w:id="206"/>
        <w:bookmarkEnd w:id="207"/>
        <w:p w14:paraId="42E67EFE" w14:textId="77777777" w:rsidR="009919AC" w:rsidRPr="000D4A19" w:rsidRDefault="009919AC" w:rsidP="004B7CAB">
          <w:pPr>
            <w:spacing w:after="0" w:line="240" w:lineRule="auto"/>
            <w:jc w:val="both"/>
            <w:rPr>
              <w:rFonts w:cstheme="minorHAnsi"/>
              <w:sz w:val="24"/>
              <w:szCs w:val="24"/>
              <w:lang w:val="en-GB"/>
            </w:rPr>
          </w:pPr>
        </w:p>
        <w:p w14:paraId="2F8AFB4E" w14:textId="111E7377" w:rsidR="00587EE0" w:rsidRPr="000D4A19" w:rsidRDefault="009919AC" w:rsidP="00D45DE8">
          <w:pPr>
            <w:numPr>
              <w:ilvl w:val="0"/>
              <w:numId w:val="1"/>
            </w:numPr>
            <w:tabs>
              <w:tab w:val="left" w:pos="709"/>
              <w:tab w:val="num" w:pos="1557"/>
              <w:tab w:val="num" w:pos="8222"/>
            </w:tabs>
            <w:spacing w:after="0" w:line="240" w:lineRule="auto"/>
            <w:ind w:left="0" w:firstLine="0"/>
            <w:jc w:val="both"/>
            <w:rPr>
              <w:b/>
              <w:i/>
              <w:sz w:val="24"/>
              <w:szCs w:val="24"/>
              <w:lang w:val="en-GB"/>
            </w:rPr>
          </w:pPr>
          <w:r w:rsidRPr="000D4A19">
            <w:rPr>
              <w:rFonts w:ascii="Calibri" w:eastAsiaTheme="majorEastAsia" w:hAnsi="Calibri" w:cstheme="majorBidi"/>
              <w:bCs/>
              <w:sz w:val="24"/>
              <w:szCs w:val="24"/>
              <w:lang w:val="en-GB"/>
            </w:rPr>
            <w:t>The acceptance of gifts is prohibited pursuant to Article 17 of the Civil Servants Act, which provides that civil servants (including police officers) are “</w:t>
          </w:r>
          <w:r w:rsidRPr="000D4A19">
            <w:rPr>
              <w:rFonts w:eastAsia="Times New Roman"/>
              <w:sz w:val="24"/>
              <w:szCs w:val="24"/>
              <w:lang w:val="en-GB"/>
            </w:rPr>
            <w:t>prohibited from seeking or receiving gifts for their personal gain, or for the gain of their family or an organisation, or for favourable settlement of an administrative or other proceeding”. The Code of Ethics for Police</w:t>
          </w:r>
          <w:r w:rsidR="00E37439" w:rsidRPr="000D4A19">
            <w:rPr>
              <w:rFonts w:eastAsia="Times New Roman"/>
              <w:sz w:val="24"/>
              <w:szCs w:val="24"/>
              <w:lang w:val="en-GB"/>
            </w:rPr>
            <w:t xml:space="preserve"> Officers additionally mentions </w:t>
          </w:r>
          <w:r w:rsidRPr="000D4A19">
            <w:rPr>
              <w:rFonts w:eastAsia="Times New Roman"/>
              <w:sz w:val="24"/>
              <w:szCs w:val="24"/>
              <w:lang w:val="en-GB"/>
            </w:rPr>
            <w:t xml:space="preserve">“police officers do not seek any privileges for themselves or others and are determined to expose all forms of bribery and corruption”. </w:t>
          </w:r>
          <w:bookmarkStart w:id="208" w:name="_Toc484088356"/>
          <w:r w:rsidR="00587EE0" w:rsidRPr="000D4A19">
            <w:rPr>
              <w:rFonts w:eastAsia="Times New Roman"/>
              <w:sz w:val="24"/>
              <w:szCs w:val="24"/>
              <w:lang w:val="en-GB"/>
            </w:rPr>
            <w:t xml:space="preserve">In discussing this issue on-site, the GET was told that police officers cannot accept any gift, with the provisions on bribery being </w:t>
          </w:r>
          <w:r w:rsidR="00526266" w:rsidRPr="000D4A19">
            <w:rPr>
              <w:rFonts w:eastAsia="Times New Roman"/>
              <w:sz w:val="24"/>
              <w:szCs w:val="24"/>
              <w:lang w:val="en-GB"/>
            </w:rPr>
            <w:t>cited</w:t>
          </w:r>
          <w:r w:rsidR="00587EE0" w:rsidRPr="000D4A19">
            <w:rPr>
              <w:rFonts w:eastAsia="Times New Roman"/>
              <w:sz w:val="24"/>
              <w:szCs w:val="24"/>
              <w:lang w:val="en-GB"/>
            </w:rPr>
            <w:t>. The GET finds that the acceptance of gifts cannot only be seen from a criminal law perspective, as there may be a number of areas in which it is impossible to refuse a gift (e.g. during the visit of a foreign police delegation) or which would otherwise benefit from further guidance (hospitality, social courtesy gifts</w:t>
          </w:r>
          <w:r w:rsidR="008442ED" w:rsidRPr="000D4A19">
            <w:rPr>
              <w:rFonts w:eastAsia="Times New Roman"/>
              <w:sz w:val="24"/>
              <w:szCs w:val="24"/>
              <w:lang w:val="en-GB"/>
            </w:rPr>
            <w:t xml:space="preserve"> etc.</w:t>
          </w:r>
          <w:r w:rsidR="00587EE0" w:rsidRPr="000D4A19">
            <w:rPr>
              <w:rFonts w:eastAsia="Times New Roman"/>
              <w:sz w:val="24"/>
              <w:szCs w:val="24"/>
              <w:lang w:val="en-GB"/>
            </w:rPr>
            <w:t>). Further attention would thus need to be paid to this issue</w:t>
          </w:r>
          <w:r w:rsidR="00D45DE8" w:rsidRPr="000D4A19">
            <w:rPr>
              <w:rFonts w:eastAsia="Times New Roman"/>
              <w:sz w:val="24"/>
              <w:szCs w:val="24"/>
              <w:lang w:val="en-GB"/>
            </w:rPr>
            <w:t xml:space="preserve"> in the revision of the Code of Conduct and the guidance to be provided (e.g. practical scenarios and procedures for situations in which gifts are offered, reporting and registering of gifts etc.)</w:t>
          </w:r>
          <w:r w:rsidR="0047711C" w:rsidRPr="000D4A19">
            <w:rPr>
              <w:rFonts w:eastAsia="Times New Roman"/>
              <w:sz w:val="24"/>
              <w:szCs w:val="24"/>
              <w:lang w:val="en-GB"/>
            </w:rPr>
            <w:t xml:space="preserve">, as per </w:t>
          </w:r>
          <w:r w:rsidR="0047711C" w:rsidRPr="007A42EA">
            <w:rPr>
              <w:rFonts w:eastAsia="Times New Roman"/>
              <w:sz w:val="24"/>
              <w:szCs w:val="24"/>
              <w:lang w:val="en-GB"/>
            </w:rPr>
            <w:t xml:space="preserve">recommendation </w:t>
          </w:r>
          <w:r w:rsidR="00D66410" w:rsidRPr="007A42EA">
            <w:rPr>
              <w:rFonts w:eastAsia="Times New Roman"/>
              <w:sz w:val="24"/>
              <w:szCs w:val="24"/>
              <w:lang w:val="en-GB"/>
            </w:rPr>
            <w:t>xi</w:t>
          </w:r>
          <w:r w:rsidR="00DD681C" w:rsidRPr="007A42EA">
            <w:rPr>
              <w:rFonts w:eastAsia="Times New Roman"/>
              <w:sz w:val="24"/>
              <w:szCs w:val="24"/>
              <w:lang w:val="en-GB"/>
            </w:rPr>
            <w:t>ii</w:t>
          </w:r>
          <w:r w:rsidR="0047711C" w:rsidRPr="007A42EA">
            <w:rPr>
              <w:rFonts w:eastAsia="Times New Roman"/>
              <w:sz w:val="24"/>
              <w:szCs w:val="24"/>
              <w:lang w:val="en-GB"/>
            </w:rPr>
            <w:t xml:space="preserve"> above</w:t>
          </w:r>
          <w:r w:rsidR="00D45DE8" w:rsidRPr="000D4A19">
            <w:rPr>
              <w:rFonts w:eastAsia="Times New Roman"/>
              <w:sz w:val="24"/>
              <w:szCs w:val="24"/>
              <w:lang w:val="en-GB"/>
            </w:rPr>
            <w:t xml:space="preserve">. </w:t>
          </w:r>
        </w:p>
        <w:p w14:paraId="3E65248E" w14:textId="77777777" w:rsidR="009919AC" w:rsidRPr="000D4A19" w:rsidRDefault="009919AC" w:rsidP="004B7CAB">
          <w:pPr>
            <w:tabs>
              <w:tab w:val="left" w:pos="709"/>
              <w:tab w:val="num" w:pos="8222"/>
            </w:tabs>
            <w:spacing w:after="0" w:line="240" w:lineRule="auto"/>
            <w:jc w:val="both"/>
            <w:rPr>
              <w:b/>
              <w:i/>
              <w:sz w:val="24"/>
              <w:szCs w:val="24"/>
              <w:lang w:val="en-GB"/>
            </w:rPr>
          </w:pPr>
        </w:p>
        <w:p w14:paraId="49382564" w14:textId="77777777" w:rsidR="009919AC" w:rsidRPr="000D4A19" w:rsidRDefault="009919AC" w:rsidP="002B24B1">
          <w:pPr>
            <w:pStyle w:val="Naslov3"/>
            <w:spacing w:before="0" w:line="240" w:lineRule="auto"/>
            <w:rPr>
              <w:rFonts w:asciiTheme="minorHAnsi" w:hAnsiTheme="minorHAnsi"/>
              <w:b w:val="0"/>
              <w:i/>
              <w:color w:val="auto"/>
              <w:sz w:val="24"/>
              <w:szCs w:val="24"/>
              <w:lang w:val="en-GB"/>
            </w:rPr>
          </w:pPr>
          <w:bookmarkStart w:id="209" w:name="_Toc4762892"/>
          <w:bookmarkStart w:id="210" w:name="_Toc25229338"/>
          <w:r w:rsidRPr="000D4A19">
            <w:rPr>
              <w:rFonts w:asciiTheme="minorHAnsi" w:hAnsiTheme="minorHAnsi"/>
              <w:b w:val="0"/>
              <w:i/>
              <w:color w:val="auto"/>
              <w:sz w:val="24"/>
              <w:szCs w:val="24"/>
              <w:lang w:val="en-GB"/>
            </w:rPr>
            <w:t>Misuse of public resources</w:t>
          </w:r>
          <w:bookmarkEnd w:id="209"/>
          <w:bookmarkEnd w:id="210"/>
        </w:p>
        <w:bookmarkEnd w:id="208"/>
        <w:p w14:paraId="09FF43F3" w14:textId="77777777" w:rsidR="009919AC" w:rsidRPr="000D4A19" w:rsidRDefault="009919AC" w:rsidP="002B24B1">
          <w:pPr>
            <w:keepNext/>
            <w:keepLines/>
            <w:tabs>
              <w:tab w:val="left" w:pos="709"/>
              <w:tab w:val="num" w:pos="8222"/>
            </w:tabs>
            <w:spacing w:after="0" w:line="240" w:lineRule="auto"/>
            <w:jc w:val="both"/>
            <w:rPr>
              <w:rFonts w:cstheme="minorHAnsi"/>
              <w:sz w:val="24"/>
              <w:szCs w:val="24"/>
              <w:lang w:val="en-GB"/>
            </w:rPr>
          </w:pPr>
        </w:p>
        <w:p w14:paraId="01DC20A2" w14:textId="20DBC3E1" w:rsidR="008442ED" w:rsidRDefault="009919AC" w:rsidP="002B24B1">
          <w:pPr>
            <w:keepNext/>
            <w:keepLines/>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The use of public resources for personal interests in the form of “unauthorised use of resources of the Ministry or using them for undesignated purpose” is considered a serious breach of official duties pursuant to the Police Act. It is also considered to be a violation of the Civil Servants Act, which provides that a civil servant is “obliged to use property entrusted to him/her for the purpose of performing his/her duties with due care and may not use this property for person gain or another illegal activity” (Article 24, Civil Servants Act). </w:t>
          </w:r>
          <w:r w:rsidR="00526266" w:rsidRPr="000D4A19">
            <w:rPr>
              <w:rFonts w:cstheme="minorHAnsi"/>
              <w:sz w:val="24"/>
              <w:szCs w:val="24"/>
              <w:lang w:val="en-GB"/>
            </w:rPr>
            <w:t>Any</w:t>
          </w:r>
          <w:r w:rsidRPr="000D4A19">
            <w:rPr>
              <w:rFonts w:cstheme="minorHAnsi"/>
              <w:sz w:val="24"/>
              <w:szCs w:val="24"/>
              <w:lang w:val="en-GB"/>
            </w:rPr>
            <w:t xml:space="preserve"> damage caused to the property of the police in service or pertaining to the service or “inflicted wilfully or due to extreme negligence” is to be compensated. </w:t>
          </w:r>
          <w:r w:rsidR="008442ED" w:rsidRPr="000D4A19">
            <w:rPr>
              <w:rFonts w:cstheme="minorHAnsi"/>
              <w:sz w:val="24"/>
              <w:szCs w:val="24"/>
              <w:lang w:val="en-GB"/>
            </w:rPr>
            <w:t xml:space="preserve">The GET takes the view that this is yet another </w:t>
          </w:r>
          <w:r w:rsidR="00EE7027" w:rsidRPr="000D4A19">
            <w:rPr>
              <w:rFonts w:cstheme="minorHAnsi"/>
              <w:sz w:val="24"/>
              <w:szCs w:val="24"/>
              <w:lang w:val="en-GB"/>
            </w:rPr>
            <w:t xml:space="preserve">topic, </w:t>
          </w:r>
          <w:r w:rsidR="008442ED" w:rsidRPr="000D4A19">
            <w:rPr>
              <w:rFonts w:cstheme="minorHAnsi"/>
              <w:sz w:val="24"/>
              <w:szCs w:val="24"/>
              <w:lang w:val="en-GB"/>
            </w:rPr>
            <w:t>which would benefit from being included in a revision of the Code of Police Ethics (for example as regard</w:t>
          </w:r>
          <w:r w:rsidR="00526266" w:rsidRPr="000D4A19">
            <w:rPr>
              <w:rFonts w:cstheme="minorHAnsi"/>
              <w:sz w:val="24"/>
              <w:szCs w:val="24"/>
              <w:lang w:val="en-GB"/>
            </w:rPr>
            <w:t>s</w:t>
          </w:r>
          <w:r w:rsidR="008442ED" w:rsidRPr="000D4A19">
            <w:rPr>
              <w:rFonts w:cstheme="minorHAnsi"/>
              <w:sz w:val="24"/>
              <w:szCs w:val="24"/>
              <w:lang w:val="en-GB"/>
            </w:rPr>
            <w:t xml:space="preserve"> the use of official police vehicles, seized items etc.) as per </w:t>
          </w:r>
          <w:r w:rsidR="008442ED" w:rsidRPr="007A42EA">
            <w:rPr>
              <w:rFonts w:cstheme="minorHAnsi"/>
              <w:sz w:val="24"/>
              <w:szCs w:val="24"/>
              <w:lang w:val="en-GB"/>
            </w:rPr>
            <w:t>recommendation x</w:t>
          </w:r>
          <w:r w:rsidR="00DD681C" w:rsidRPr="007A42EA">
            <w:rPr>
              <w:rFonts w:cstheme="minorHAnsi"/>
              <w:sz w:val="24"/>
              <w:szCs w:val="24"/>
              <w:lang w:val="en-GB"/>
            </w:rPr>
            <w:t>iii</w:t>
          </w:r>
          <w:r w:rsidR="008442ED" w:rsidRPr="007A42EA">
            <w:rPr>
              <w:rFonts w:cstheme="minorHAnsi"/>
              <w:sz w:val="24"/>
              <w:szCs w:val="24"/>
              <w:lang w:val="en-GB"/>
            </w:rPr>
            <w:t xml:space="preserve"> above</w:t>
          </w:r>
          <w:r w:rsidR="008442ED" w:rsidRPr="000D4A19">
            <w:rPr>
              <w:rFonts w:cstheme="minorHAnsi"/>
              <w:sz w:val="24"/>
              <w:szCs w:val="24"/>
              <w:lang w:val="en-GB"/>
            </w:rPr>
            <w:t xml:space="preserve">.  </w:t>
          </w:r>
        </w:p>
        <w:p w14:paraId="5D66F3BF" w14:textId="77777777" w:rsidR="002C1C5D" w:rsidRPr="000D4A19" w:rsidRDefault="002C1C5D" w:rsidP="002C1C5D">
          <w:pPr>
            <w:tabs>
              <w:tab w:val="left" w:pos="709"/>
              <w:tab w:val="num" w:pos="8222"/>
            </w:tabs>
            <w:spacing w:after="0" w:line="240" w:lineRule="auto"/>
            <w:jc w:val="both"/>
            <w:rPr>
              <w:rFonts w:cstheme="minorHAnsi"/>
              <w:sz w:val="24"/>
              <w:szCs w:val="24"/>
              <w:lang w:val="en-GB"/>
            </w:rPr>
          </w:pPr>
        </w:p>
        <w:p w14:paraId="1662BEB9"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211" w:name="_Toc4762893"/>
          <w:bookmarkStart w:id="212" w:name="_Toc25229339"/>
          <w:bookmarkStart w:id="213" w:name="_Toc342554316"/>
          <w:bookmarkStart w:id="214" w:name="_Toc342640991"/>
          <w:bookmarkStart w:id="215" w:name="_Toc484088357"/>
          <w:bookmarkStart w:id="216" w:name="_Toc342554315"/>
          <w:bookmarkStart w:id="217" w:name="_Toc342640990"/>
          <w:r w:rsidRPr="000D4A19">
            <w:rPr>
              <w:rFonts w:asciiTheme="minorHAnsi" w:hAnsiTheme="minorHAnsi"/>
              <w:b w:val="0"/>
              <w:i/>
              <w:color w:val="auto"/>
              <w:sz w:val="24"/>
              <w:szCs w:val="24"/>
              <w:lang w:val="en-GB"/>
            </w:rPr>
            <w:t>Third party contacts, confidential information</w:t>
          </w:r>
          <w:bookmarkEnd w:id="211"/>
          <w:bookmarkEnd w:id="212"/>
        </w:p>
        <w:bookmarkEnd w:id="213"/>
        <w:bookmarkEnd w:id="214"/>
        <w:bookmarkEnd w:id="215"/>
        <w:bookmarkEnd w:id="216"/>
        <w:bookmarkEnd w:id="217"/>
        <w:p w14:paraId="653B88EF" w14:textId="77777777" w:rsidR="009919AC" w:rsidRPr="000D4A19" w:rsidRDefault="009919AC" w:rsidP="004B7CAB">
          <w:pPr>
            <w:spacing w:after="0" w:line="240" w:lineRule="auto"/>
            <w:jc w:val="both"/>
            <w:rPr>
              <w:rFonts w:cstheme="minorHAnsi"/>
              <w:sz w:val="24"/>
              <w:szCs w:val="24"/>
              <w:lang w:val="en-GB"/>
            </w:rPr>
          </w:pPr>
        </w:p>
        <w:p w14:paraId="7F2AD2E6" w14:textId="20672D35" w:rsidR="0047711C" w:rsidRPr="000D4A19" w:rsidRDefault="009919AC" w:rsidP="0047711C">
          <w:pPr>
            <w:pStyle w:val="Tekstfusnote"/>
            <w:numPr>
              <w:ilvl w:val="0"/>
              <w:numId w:val="1"/>
            </w:numPr>
            <w:tabs>
              <w:tab w:val="num" w:pos="0"/>
              <w:tab w:val="left" w:pos="720"/>
            </w:tabs>
            <w:ind w:left="0" w:firstLine="0"/>
            <w:jc w:val="both"/>
            <w:rPr>
              <w:rFonts w:ascii="Calibri" w:hAnsi="Calibri" w:cstheme="minorHAnsi"/>
              <w:sz w:val="24"/>
              <w:szCs w:val="24"/>
            </w:rPr>
          </w:pPr>
          <w:r w:rsidRPr="000D4A19">
            <w:rPr>
              <w:rFonts w:ascii="Calibri" w:eastAsiaTheme="majorEastAsia" w:hAnsi="Calibri" w:cstheme="majorBidi"/>
              <w:bCs/>
              <w:sz w:val="24"/>
              <w:szCs w:val="24"/>
            </w:rPr>
            <w:t xml:space="preserve">Unofficial contacts are not expressly prohibited, but police officers are bound by professional secrecy and any act that compromises the confidentiality of information or impartiality of police officers </w:t>
          </w:r>
          <w:r w:rsidR="0047711C" w:rsidRPr="000D4A19">
            <w:rPr>
              <w:rFonts w:ascii="Calibri" w:eastAsiaTheme="majorEastAsia" w:hAnsi="Calibri" w:cstheme="majorBidi"/>
              <w:bCs/>
              <w:sz w:val="24"/>
              <w:szCs w:val="24"/>
            </w:rPr>
            <w:t>entails disciplinary or even criminal responsibility</w:t>
          </w:r>
          <w:r w:rsidRPr="000D4A19">
            <w:rPr>
              <w:rFonts w:ascii="Calibri" w:eastAsiaTheme="majorEastAsia" w:hAnsi="Calibri" w:cstheme="majorBidi"/>
              <w:bCs/>
              <w:sz w:val="24"/>
              <w:szCs w:val="24"/>
            </w:rPr>
            <w:t xml:space="preserve">. To this end, the Police Act (Article 35) provides that police officers “shall keep confidential information learnt in the performance of work”. Information in this context refers to </w:t>
          </w:r>
          <w:r w:rsidR="00EE7027" w:rsidRPr="000D4A19">
            <w:rPr>
              <w:rFonts w:ascii="Calibri" w:eastAsiaTheme="majorEastAsia" w:hAnsi="Calibri" w:cstheme="majorBidi"/>
              <w:bCs/>
              <w:sz w:val="24"/>
              <w:szCs w:val="24"/>
            </w:rPr>
            <w:t xml:space="preserve">both </w:t>
          </w:r>
          <w:r w:rsidRPr="000D4A19">
            <w:rPr>
              <w:rFonts w:ascii="Calibri" w:eastAsiaTheme="majorEastAsia" w:hAnsi="Calibri" w:cstheme="majorBidi"/>
              <w:bCs/>
              <w:sz w:val="24"/>
              <w:szCs w:val="24"/>
            </w:rPr>
            <w:t>“unclassified”</w:t>
          </w:r>
          <w:r w:rsidR="00EE7027" w:rsidRPr="000D4A19">
            <w:rPr>
              <w:rFonts w:ascii="Calibri" w:eastAsiaTheme="majorEastAsia" w:hAnsi="Calibri" w:cstheme="majorBidi"/>
              <w:bCs/>
              <w:sz w:val="24"/>
              <w:szCs w:val="24"/>
            </w:rPr>
            <w:t xml:space="preserve"> and</w:t>
          </w:r>
          <w:r w:rsidRPr="000D4A19">
            <w:rPr>
              <w:rFonts w:ascii="Calibri" w:eastAsiaTheme="majorEastAsia" w:hAnsi="Calibri" w:cstheme="majorBidi"/>
              <w:bCs/>
              <w:sz w:val="24"/>
              <w:szCs w:val="24"/>
            </w:rPr>
            <w:t xml:space="preserve"> “classified”</w:t>
          </w:r>
          <w:r w:rsidR="00EE7027" w:rsidRPr="000D4A19">
            <w:rPr>
              <w:rFonts w:ascii="Calibri" w:eastAsiaTheme="majorEastAsia" w:hAnsi="Calibri" w:cstheme="majorBidi"/>
              <w:bCs/>
              <w:sz w:val="24"/>
              <w:szCs w:val="24"/>
            </w:rPr>
            <w:t xml:space="preserve"> categorisations of information</w:t>
          </w:r>
          <w:r w:rsidRPr="000D4A19">
            <w:rPr>
              <w:rFonts w:ascii="Calibri" w:eastAsiaTheme="majorEastAsia" w:hAnsi="Calibri" w:cstheme="majorBidi"/>
              <w:bCs/>
              <w:sz w:val="24"/>
              <w:szCs w:val="24"/>
            </w:rPr>
            <w:t xml:space="preserve">. Similarly, civil servants are obliged to maintain as a secret “all data to which they gain knowledge during procedures concerning clients and their rights and obligations and legal interests pursuant to law” and are to “maintain official or other secrets as specified by law or </w:t>
          </w:r>
          <w:r w:rsidRPr="000D4A19">
            <w:rPr>
              <w:rFonts w:asciiTheme="minorHAnsi" w:eastAsiaTheme="majorEastAsia" w:hAnsiTheme="minorHAnsi" w:cstheme="majorBidi"/>
              <w:bCs/>
              <w:sz w:val="24"/>
              <w:szCs w:val="24"/>
            </w:rPr>
            <w:t xml:space="preserve">other regulations” (Article 21, Civil Servants Act). Misuse of confidential information </w:t>
          </w:r>
          <w:r w:rsidRPr="000D4A19">
            <w:rPr>
              <w:rFonts w:asciiTheme="minorHAnsi" w:hAnsiTheme="minorHAnsi" w:cs="Calibri"/>
              <w:sz w:val="24"/>
              <w:szCs w:val="24"/>
            </w:rPr>
            <w:t xml:space="preserve">can </w:t>
          </w:r>
          <w:r w:rsidR="008442ED" w:rsidRPr="000D4A19">
            <w:rPr>
              <w:rFonts w:asciiTheme="minorHAnsi" w:hAnsiTheme="minorHAnsi" w:cs="Calibri"/>
              <w:sz w:val="24"/>
              <w:szCs w:val="24"/>
            </w:rPr>
            <w:t>in some cases rise to the level of crime if it pertains to so-called official secrets</w:t>
          </w:r>
          <w:r w:rsidRPr="000D4A19">
            <w:rPr>
              <w:rFonts w:asciiTheme="minorHAnsi" w:hAnsiTheme="minorHAnsi" w:cs="Calibri"/>
              <w:sz w:val="24"/>
              <w:szCs w:val="24"/>
            </w:rPr>
            <w:t>, pursuant to Article 300 of the Criminal Code (Disclosure of Official Secrets)</w:t>
          </w:r>
          <w:r w:rsidRPr="000D4A19">
            <w:rPr>
              <w:rFonts w:ascii="Calibri" w:hAnsi="Calibri" w:cs="Calibri"/>
              <w:sz w:val="24"/>
              <w:szCs w:val="24"/>
            </w:rPr>
            <w:t xml:space="preserve">. </w:t>
          </w:r>
        </w:p>
        <w:p w14:paraId="2A59459F" w14:textId="77777777" w:rsidR="0047711C" w:rsidRPr="000D4A19" w:rsidRDefault="0047711C" w:rsidP="00F43323">
          <w:pPr>
            <w:pStyle w:val="Tekstfusnote"/>
            <w:tabs>
              <w:tab w:val="left" w:pos="720"/>
            </w:tabs>
            <w:jc w:val="both"/>
            <w:rPr>
              <w:rFonts w:ascii="Calibri" w:hAnsi="Calibri" w:cstheme="minorHAnsi"/>
              <w:sz w:val="24"/>
              <w:szCs w:val="24"/>
            </w:rPr>
          </w:pPr>
        </w:p>
        <w:p w14:paraId="38012ED6" w14:textId="29F6632F" w:rsidR="009919AC" w:rsidRPr="000D4A19" w:rsidRDefault="00F877EB" w:rsidP="0047711C">
          <w:pPr>
            <w:pStyle w:val="Tekstfusnote"/>
            <w:numPr>
              <w:ilvl w:val="0"/>
              <w:numId w:val="1"/>
            </w:numPr>
            <w:tabs>
              <w:tab w:val="num" w:pos="0"/>
              <w:tab w:val="left" w:pos="720"/>
            </w:tabs>
            <w:ind w:left="0" w:firstLine="0"/>
            <w:jc w:val="both"/>
            <w:rPr>
              <w:rFonts w:ascii="Calibri" w:hAnsi="Calibri" w:cstheme="minorHAnsi"/>
              <w:sz w:val="24"/>
              <w:szCs w:val="24"/>
            </w:rPr>
          </w:pPr>
          <w:r w:rsidRPr="000D4A19">
            <w:rPr>
              <w:rFonts w:ascii="Calibri" w:hAnsi="Calibri" w:cs="Calibri"/>
              <w:sz w:val="24"/>
              <w:szCs w:val="24"/>
            </w:rPr>
            <w:t xml:space="preserve">The GET heard on-site that attempts to access information for other purposes than an investigation was a problem </w:t>
          </w:r>
          <w:r w:rsidR="008442ED" w:rsidRPr="000D4A19">
            <w:rPr>
              <w:rFonts w:ascii="Calibri" w:hAnsi="Calibri" w:cs="Calibri"/>
              <w:sz w:val="24"/>
              <w:szCs w:val="24"/>
            </w:rPr>
            <w:t xml:space="preserve">in the Croatian police, as it is in many other countries </w:t>
          </w:r>
          <w:r w:rsidRPr="000D4A19">
            <w:rPr>
              <w:rFonts w:ascii="Calibri" w:hAnsi="Calibri" w:cs="Calibri"/>
              <w:sz w:val="24"/>
              <w:szCs w:val="24"/>
            </w:rPr>
            <w:t>(even if the GET notes that there are – as seen from the statistics below – relatively few cases dealing with this). The Internal Control D</w:t>
          </w:r>
          <w:r w:rsidR="000D6795" w:rsidRPr="000D4A19">
            <w:rPr>
              <w:rFonts w:ascii="Calibri" w:hAnsi="Calibri" w:cs="Calibri"/>
              <w:sz w:val="24"/>
              <w:szCs w:val="24"/>
            </w:rPr>
            <w:t xml:space="preserve">ivision </w:t>
          </w:r>
          <w:r w:rsidRPr="000D4A19">
            <w:rPr>
              <w:rFonts w:ascii="Calibri" w:hAnsi="Calibri" w:cs="Calibri"/>
              <w:sz w:val="24"/>
              <w:szCs w:val="24"/>
            </w:rPr>
            <w:t>would make use of IT logs, and follow</w:t>
          </w:r>
          <w:r w:rsidR="005E26E3" w:rsidRPr="000D4A19">
            <w:rPr>
              <w:rFonts w:ascii="Calibri" w:hAnsi="Calibri" w:cs="Calibri"/>
              <w:sz w:val="24"/>
              <w:szCs w:val="24"/>
            </w:rPr>
            <w:t xml:space="preserve"> </w:t>
          </w:r>
          <w:r w:rsidRPr="000D4A19">
            <w:rPr>
              <w:rFonts w:ascii="Calibri" w:hAnsi="Calibri" w:cs="Calibri"/>
              <w:sz w:val="24"/>
              <w:szCs w:val="24"/>
            </w:rPr>
            <w:t xml:space="preserve">up with inquiries to police officers as to why they access certain information. In most situations this reportedly would have a deterrent effect. As with various other issues mentioned above, protection of information, misuse of information and unauthorised access to certain information would also be an issue to be dealt with when implementing </w:t>
          </w:r>
          <w:r w:rsidRPr="007A42EA">
            <w:rPr>
              <w:rFonts w:ascii="Calibri" w:hAnsi="Calibri" w:cs="Calibri"/>
              <w:sz w:val="24"/>
              <w:szCs w:val="24"/>
            </w:rPr>
            <w:t xml:space="preserve">recommendation </w:t>
          </w:r>
          <w:r w:rsidR="00D66410" w:rsidRPr="007A42EA">
            <w:rPr>
              <w:rFonts w:ascii="Calibri" w:hAnsi="Calibri" w:cs="Calibri"/>
              <w:sz w:val="24"/>
              <w:szCs w:val="24"/>
            </w:rPr>
            <w:t>xi</w:t>
          </w:r>
          <w:r w:rsidR="00DD681C" w:rsidRPr="007A42EA">
            <w:rPr>
              <w:rFonts w:ascii="Calibri" w:hAnsi="Calibri" w:cs="Calibri"/>
              <w:sz w:val="24"/>
              <w:szCs w:val="24"/>
            </w:rPr>
            <w:t>ii</w:t>
          </w:r>
          <w:r w:rsidRPr="007A42EA">
            <w:rPr>
              <w:rFonts w:ascii="Calibri" w:hAnsi="Calibri" w:cs="Calibri"/>
              <w:sz w:val="24"/>
              <w:szCs w:val="24"/>
            </w:rPr>
            <w:t xml:space="preserve"> above</w:t>
          </w:r>
          <w:r w:rsidRPr="000D4A19">
            <w:rPr>
              <w:rFonts w:ascii="Calibri" w:hAnsi="Calibri" w:cs="Calibri"/>
              <w:sz w:val="24"/>
              <w:szCs w:val="24"/>
            </w:rPr>
            <w:t xml:space="preserve">. </w:t>
          </w:r>
        </w:p>
        <w:p w14:paraId="206EA4CE" w14:textId="77777777" w:rsidR="009919AC" w:rsidRPr="000D4A19" w:rsidRDefault="009919AC" w:rsidP="004B7CAB">
          <w:pPr>
            <w:pStyle w:val="Tekstfusnote"/>
            <w:tabs>
              <w:tab w:val="num" w:pos="709"/>
            </w:tabs>
            <w:jc w:val="both"/>
            <w:rPr>
              <w:rFonts w:cstheme="minorHAnsi"/>
              <w:sz w:val="24"/>
              <w:szCs w:val="24"/>
            </w:rPr>
          </w:pPr>
        </w:p>
        <w:p w14:paraId="4FB53D3D" w14:textId="77777777" w:rsidR="009919AC" w:rsidRPr="000D4A19" w:rsidRDefault="009919AC" w:rsidP="004B7CAB">
          <w:pPr>
            <w:pStyle w:val="Naslov2"/>
            <w:keepNext w:val="0"/>
            <w:keepLines w:val="0"/>
            <w:tabs>
              <w:tab w:val="left" w:pos="709"/>
            </w:tabs>
            <w:spacing w:before="0" w:line="240" w:lineRule="auto"/>
            <w:jc w:val="both"/>
            <w:rPr>
              <w:rFonts w:asciiTheme="minorHAnsi" w:hAnsiTheme="minorHAnsi"/>
              <w:color w:val="auto"/>
              <w:sz w:val="24"/>
              <w:szCs w:val="24"/>
              <w:u w:val="single"/>
              <w:lang w:val="en-GB"/>
            </w:rPr>
          </w:pPr>
          <w:bookmarkStart w:id="218" w:name="_Toc4762894"/>
          <w:bookmarkStart w:id="219" w:name="_Toc25229340"/>
          <w:bookmarkStart w:id="220" w:name="_Toc342554317"/>
          <w:bookmarkStart w:id="221" w:name="_Toc342640992"/>
          <w:bookmarkStart w:id="222" w:name="_Toc484088359"/>
          <w:r w:rsidRPr="000D4A19">
            <w:rPr>
              <w:rFonts w:asciiTheme="minorHAnsi" w:hAnsiTheme="minorHAnsi"/>
              <w:color w:val="auto"/>
              <w:sz w:val="24"/>
              <w:szCs w:val="24"/>
              <w:u w:val="single"/>
              <w:lang w:val="en-GB"/>
            </w:rPr>
            <w:t>Declaration of assets, income, liabilities and interests</w:t>
          </w:r>
          <w:bookmarkEnd w:id="218"/>
          <w:bookmarkEnd w:id="219"/>
        </w:p>
        <w:bookmarkEnd w:id="220"/>
        <w:bookmarkEnd w:id="221"/>
        <w:bookmarkEnd w:id="222"/>
        <w:p w14:paraId="76FB3528" w14:textId="77777777" w:rsidR="009919AC" w:rsidRPr="000D4A19" w:rsidRDefault="009919AC" w:rsidP="004B7CAB">
          <w:pPr>
            <w:spacing w:after="0" w:line="240" w:lineRule="auto"/>
            <w:jc w:val="both"/>
            <w:rPr>
              <w:rFonts w:cstheme="minorHAnsi"/>
              <w:sz w:val="24"/>
              <w:szCs w:val="24"/>
              <w:lang w:val="en-GB"/>
            </w:rPr>
          </w:pPr>
        </w:p>
        <w:p w14:paraId="1E33443B"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223" w:name="_Toc4762895"/>
          <w:bookmarkStart w:id="224" w:name="_Toc25229341"/>
          <w:bookmarkStart w:id="225" w:name="_Toc484088360"/>
          <w:r w:rsidRPr="000D4A19">
            <w:rPr>
              <w:rFonts w:asciiTheme="minorHAnsi" w:hAnsiTheme="minorHAnsi"/>
              <w:b w:val="0"/>
              <w:i/>
              <w:color w:val="auto"/>
              <w:sz w:val="24"/>
              <w:szCs w:val="24"/>
              <w:lang w:val="en-GB"/>
            </w:rPr>
            <w:t>Declaration requirements</w:t>
          </w:r>
          <w:bookmarkEnd w:id="223"/>
          <w:bookmarkEnd w:id="224"/>
        </w:p>
        <w:bookmarkEnd w:id="225"/>
        <w:p w14:paraId="2FCD5949" w14:textId="77777777" w:rsidR="009919AC" w:rsidRPr="000D4A19" w:rsidRDefault="009919AC" w:rsidP="004B7CAB">
          <w:pPr>
            <w:spacing w:after="0" w:line="240" w:lineRule="auto"/>
            <w:jc w:val="both"/>
            <w:rPr>
              <w:rFonts w:cstheme="minorHAnsi"/>
              <w:sz w:val="24"/>
              <w:szCs w:val="24"/>
              <w:lang w:val="en-GB"/>
            </w:rPr>
          </w:pPr>
        </w:p>
        <w:p w14:paraId="514D5972" w14:textId="51468795" w:rsidR="00476100" w:rsidRPr="000D4A19" w:rsidRDefault="000419E9" w:rsidP="008229F9">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ascii="Calibri" w:eastAsiaTheme="majorEastAsia" w:hAnsi="Calibri" w:cstheme="majorBidi"/>
              <w:bCs/>
              <w:sz w:val="24"/>
              <w:szCs w:val="24"/>
              <w:lang w:val="en-GB"/>
            </w:rPr>
            <w:t xml:space="preserve">The Civil Servants Act </w:t>
          </w:r>
          <w:r w:rsidRPr="000D4A19">
            <w:rPr>
              <w:rFonts w:ascii="Calibri" w:eastAsiaTheme="majorEastAsia" w:hAnsi="Calibri" w:cstheme="majorBidi"/>
              <w:bCs/>
              <w:i/>
              <w:sz w:val="24"/>
              <w:szCs w:val="24"/>
              <w:lang w:val="en-GB"/>
            </w:rPr>
            <w:t xml:space="preserve">inter alia </w:t>
          </w:r>
          <w:r w:rsidRPr="000D4A19">
            <w:rPr>
              <w:rFonts w:ascii="Calibri" w:eastAsiaTheme="majorEastAsia" w:hAnsi="Calibri" w:cstheme="majorBidi"/>
              <w:bCs/>
              <w:sz w:val="24"/>
              <w:szCs w:val="24"/>
              <w:lang w:val="en-GB"/>
            </w:rPr>
            <w:t xml:space="preserve">provides that a civil servant </w:t>
          </w:r>
          <w:r w:rsidR="0047711C" w:rsidRPr="000D4A19">
            <w:rPr>
              <w:rFonts w:ascii="Calibri" w:eastAsiaTheme="majorEastAsia" w:hAnsi="Calibri" w:cstheme="majorBidi"/>
              <w:bCs/>
              <w:sz w:val="24"/>
              <w:szCs w:val="24"/>
              <w:lang w:val="en-GB"/>
            </w:rPr>
            <w:t xml:space="preserve">(whether a police officer or other staff of the police) </w:t>
          </w:r>
          <w:r w:rsidRPr="000D4A19">
            <w:rPr>
              <w:rFonts w:ascii="Calibri" w:eastAsiaTheme="majorEastAsia" w:hAnsi="Calibri" w:cstheme="majorBidi"/>
              <w:bCs/>
              <w:sz w:val="24"/>
              <w:szCs w:val="24"/>
              <w:lang w:val="en-GB"/>
            </w:rPr>
            <w:t>is obliged to provide a written report to his/her superior on 1) any financial or other interest in which s/he, his/her spouse or common-law partner, child or parent may have in the decisions of the state body in which s/he is employed, 2) any financial or other interest of natural or legal persons with who</w:t>
          </w:r>
          <w:r w:rsidR="005E26E3" w:rsidRPr="000D4A19">
            <w:rPr>
              <w:rFonts w:ascii="Calibri" w:eastAsiaTheme="majorEastAsia" w:hAnsi="Calibri" w:cstheme="majorBidi"/>
              <w:bCs/>
              <w:sz w:val="24"/>
              <w:szCs w:val="24"/>
              <w:lang w:val="en-GB"/>
            </w:rPr>
            <w:t>m</w:t>
          </w:r>
          <w:r w:rsidRPr="000D4A19">
            <w:rPr>
              <w:rFonts w:ascii="Calibri" w:eastAsiaTheme="majorEastAsia" w:hAnsi="Calibri" w:cstheme="majorBidi"/>
              <w:bCs/>
              <w:sz w:val="24"/>
              <w:szCs w:val="24"/>
              <w:lang w:val="en-GB"/>
            </w:rPr>
            <w:t xml:space="preserve"> s/he has had business dealing</w:t>
          </w:r>
          <w:r w:rsidR="005E26E3" w:rsidRPr="000D4A19">
            <w:rPr>
              <w:rFonts w:ascii="Calibri" w:eastAsiaTheme="majorEastAsia" w:hAnsi="Calibri" w:cstheme="majorBidi"/>
              <w:bCs/>
              <w:sz w:val="24"/>
              <w:szCs w:val="24"/>
              <w:lang w:val="en-GB"/>
            </w:rPr>
            <w:t>s</w:t>
          </w:r>
          <w:r w:rsidRPr="000D4A19">
            <w:rPr>
              <w:rFonts w:ascii="Calibri" w:eastAsiaTheme="majorEastAsia" w:hAnsi="Calibri" w:cstheme="majorBidi"/>
              <w:bCs/>
              <w:sz w:val="24"/>
              <w:szCs w:val="24"/>
              <w:lang w:val="en-GB"/>
            </w:rPr>
            <w:t xml:space="preserve"> within a period of two years prior to his/her admission to the civil service and with which the state body in which s/he is employed is performing administrative operations 3) ownership of shares and bonds or financial and other interests in companies with which the state body in which s/he is employed is performing administrative operations and which may constitute a conflict of interest (Article 34, Civil Servants Act). </w:t>
          </w:r>
        </w:p>
        <w:p w14:paraId="07A68A34" w14:textId="77777777" w:rsidR="00476100" w:rsidRPr="000D4A19" w:rsidRDefault="00476100" w:rsidP="00645C71">
          <w:pPr>
            <w:tabs>
              <w:tab w:val="left" w:pos="709"/>
              <w:tab w:val="num" w:pos="8222"/>
            </w:tabs>
            <w:spacing w:after="0" w:line="240" w:lineRule="auto"/>
            <w:jc w:val="both"/>
            <w:rPr>
              <w:rFonts w:cstheme="minorHAnsi"/>
              <w:sz w:val="24"/>
              <w:szCs w:val="24"/>
              <w:lang w:val="en-GB"/>
            </w:rPr>
          </w:pPr>
        </w:p>
        <w:p w14:paraId="49A6A554" w14:textId="4CA1395D" w:rsidR="008229F9" w:rsidRPr="000D4A19" w:rsidRDefault="000419E9" w:rsidP="00476100">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ascii="Calibri" w:eastAsiaTheme="majorEastAsia" w:hAnsi="Calibri" w:cstheme="majorBidi"/>
              <w:bCs/>
              <w:sz w:val="24"/>
              <w:szCs w:val="24"/>
              <w:lang w:val="en-GB"/>
            </w:rPr>
            <w:t>Prior to assuming his/her post the civil servant is also to report on any high-level posts his/her spouse, common law partner, child or parent holds in a political party, vocational association or company or other legal person engaged in operational relations with the state body in which the civil servant is assuming a post, or over which the state body is performing administrative or inspectoral oversight (Article 34, paragraph 4, Civil Servants Act). The superior of the civil servant in question is to examine the circumstances outlined in the notifications submitted by the civil servant and notify the head of the state body (i.e. in this case the Director General of the police), who can have the civil servant recuse him/herself from working in a particular area.</w:t>
          </w:r>
          <w:r w:rsidR="00476100" w:rsidRPr="000D4A19">
            <w:rPr>
              <w:rFonts w:ascii="Calibri" w:eastAsiaTheme="majorEastAsia" w:hAnsi="Calibri" w:cstheme="majorBidi"/>
              <w:bCs/>
              <w:sz w:val="24"/>
              <w:szCs w:val="24"/>
              <w:lang w:val="en-GB"/>
            </w:rPr>
            <w:t xml:space="preserve"> In addition, </w:t>
          </w:r>
          <w:r w:rsidR="00476100" w:rsidRPr="000D4A19">
            <w:rPr>
              <w:rFonts w:cstheme="minorHAnsi"/>
              <w:sz w:val="24"/>
              <w:szCs w:val="24"/>
              <w:lang w:val="en-GB"/>
            </w:rPr>
            <w:t>the</w:t>
          </w:r>
          <w:r w:rsidR="009919AC" w:rsidRPr="000D4A19">
            <w:rPr>
              <w:rFonts w:ascii="Calibri" w:eastAsiaTheme="majorEastAsia" w:hAnsi="Calibri" w:cstheme="majorBidi"/>
              <w:bCs/>
              <w:sz w:val="24"/>
              <w:szCs w:val="24"/>
              <w:lang w:val="en-GB"/>
            </w:rPr>
            <w:t xml:space="preserve"> most senior post in the police, i.e. the Director General, is bound by the </w:t>
          </w:r>
          <w:r w:rsidR="00BF182A">
            <w:rPr>
              <w:rFonts w:ascii="Calibri" w:eastAsiaTheme="majorEastAsia" w:hAnsi="Calibri" w:cstheme="majorBidi"/>
              <w:bCs/>
              <w:sz w:val="24"/>
              <w:szCs w:val="24"/>
              <w:lang w:val="en-GB"/>
            </w:rPr>
            <w:t>financial</w:t>
          </w:r>
          <w:r w:rsidR="009919AC" w:rsidRPr="000D4A19">
            <w:rPr>
              <w:rFonts w:ascii="Calibri" w:eastAsiaTheme="majorEastAsia" w:hAnsi="Calibri" w:cstheme="majorBidi"/>
              <w:bCs/>
              <w:sz w:val="24"/>
              <w:szCs w:val="24"/>
              <w:lang w:val="en-GB"/>
            </w:rPr>
            <w:t xml:space="preserve"> disclosure system</w:t>
          </w:r>
          <w:r w:rsidR="00476100" w:rsidRPr="000D4A19">
            <w:rPr>
              <w:rFonts w:ascii="Calibri" w:eastAsiaTheme="majorEastAsia" w:hAnsi="Calibri" w:cstheme="majorBidi"/>
              <w:bCs/>
              <w:sz w:val="24"/>
              <w:szCs w:val="24"/>
              <w:lang w:val="en-GB"/>
            </w:rPr>
            <w:t xml:space="preserve"> of the LCI</w:t>
          </w:r>
          <w:r w:rsidR="009919AC" w:rsidRPr="000D4A19">
            <w:rPr>
              <w:rFonts w:ascii="Calibri" w:eastAsiaTheme="majorEastAsia" w:hAnsi="Calibri" w:cstheme="majorBidi"/>
              <w:bCs/>
              <w:sz w:val="24"/>
              <w:szCs w:val="24"/>
              <w:lang w:val="en-GB"/>
            </w:rPr>
            <w:t xml:space="preserve">, as explained in </w:t>
          </w:r>
          <w:r w:rsidR="009919AC" w:rsidRPr="007A42EA">
            <w:rPr>
              <w:rFonts w:ascii="Calibri" w:eastAsiaTheme="majorEastAsia" w:hAnsi="Calibri" w:cstheme="majorBidi"/>
              <w:bCs/>
              <w:sz w:val="24"/>
              <w:szCs w:val="24"/>
              <w:lang w:val="en-GB"/>
            </w:rPr>
            <w:t xml:space="preserve">paragraphs </w:t>
          </w:r>
          <w:r w:rsidR="0067037A" w:rsidRPr="007A42EA">
            <w:rPr>
              <w:rFonts w:ascii="Calibri" w:eastAsiaTheme="majorEastAsia" w:hAnsi="Calibri" w:cstheme="majorBidi"/>
              <w:bCs/>
              <w:sz w:val="24"/>
              <w:szCs w:val="24"/>
              <w:lang w:val="en-GB"/>
            </w:rPr>
            <w:t>7</w:t>
          </w:r>
          <w:r w:rsidR="00DD681C" w:rsidRPr="007A42EA">
            <w:rPr>
              <w:rFonts w:ascii="Calibri" w:eastAsiaTheme="majorEastAsia" w:hAnsi="Calibri" w:cstheme="majorBidi"/>
              <w:bCs/>
              <w:sz w:val="24"/>
              <w:szCs w:val="24"/>
              <w:lang w:val="en-GB"/>
            </w:rPr>
            <w:t>9-82</w:t>
          </w:r>
          <w:r w:rsidR="009919AC" w:rsidRPr="007A42EA">
            <w:rPr>
              <w:rFonts w:ascii="Calibri" w:eastAsiaTheme="majorEastAsia" w:hAnsi="Calibri" w:cstheme="majorBidi"/>
              <w:bCs/>
              <w:sz w:val="24"/>
              <w:szCs w:val="24"/>
              <w:lang w:val="en-GB"/>
            </w:rPr>
            <w:t xml:space="preserve"> of</w:t>
          </w:r>
          <w:r w:rsidR="00476100" w:rsidRPr="000D4A19">
            <w:rPr>
              <w:rFonts w:ascii="Calibri" w:eastAsiaTheme="majorEastAsia" w:hAnsi="Calibri" w:cstheme="majorBidi"/>
              <w:bCs/>
              <w:sz w:val="24"/>
              <w:szCs w:val="24"/>
              <w:lang w:val="en-GB"/>
            </w:rPr>
            <w:t xml:space="preserve"> the first part of</w:t>
          </w:r>
          <w:r w:rsidR="009919AC" w:rsidRPr="000D4A19">
            <w:rPr>
              <w:rFonts w:ascii="Calibri" w:eastAsiaTheme="majorEastAsia" w:hAnsi="Calibri" w:cstheme="majorBidi"/>
              <w:bCs/>
              <w:sz w:val="24"/>
              <w:szCs w:val="24"/>
              <w:lang w:val="en-GB"/>
            </w:rPr>
            <w:t xml:space="preserve"> this report. </w:t>
          </w:r>
        </w:p>
        <w:p w14:paraId="03159055" w14:textId="77777777" w:rsidR="004B7CAB" w:rsidRPr="000D4A19" w:rsidRDefault="004B7CAB" w:rsidP="004B7CAB">
          <w:pPr>
            <w:pStyle w:val="Naslov2"/>
            <w:keepNext w:val="0"/>
            <w:keepLines w:val="0"/>
            <w:tabs>
              <w:tab w:val="left" w:pos="709"/>
            </w:tabs>
            <w:spacing w:before="0" w:line="240" w:lineRule="auto"/>
            <w:jc w:val="both"/>
            <w:rPr>
              <w:rFonts w:asciiTheme="minorHAnsi" w:hAnsiTheme="minorHAnsi"/>
              <w:color w:val="auto"/>
              <w:sz w:val="24"/>
              <w:szCs w:val="24"/>
              <w:u w:val="single"/>
              <w:lang w:val="en-GB"/>
            </w:rPr>
          </w:pPr>
          <w:bookmarkStart w:id="226" w:name="_Toc4762896"/>
          <w:bookmarkStart w:id="227" w:name="_Toc484088362"/>
        </w:p>
        <w:p w14:paraId="6D4EC599" w14:textId="77777777" w:rsidR="009919AC" w:rsidRPr="000D4A19" w:rsidRDefault="009919AC" w:rsidP="004B7CAB">
          <w:pPr>
            <w:pStyle w:val="Naslov2"/>
            <w:keepNext w:val="0"/>
            <w:keepLines w:val="0"/>
            <w:tabs>
              <w:tab w:val="left" w:pos="709"/>
            </w:tabs>
            <w:spacing w:before="0" w:line="240" w:lineRule="auto"/>
            <w:jc w:val="both"/>
            <w:rPr>
              <w:rFonts w:asciiTheme="minorHAnsi" w:hAnsiTheme="minorHAnsi"/>
              <w:b w:val="0"/>
              <w:color w:val="auto"/>
              <w:sz w:val="24"/>
              <w:szCs w:val="24"/>
              <w:lang w:val="en-GB"/>
            </w:rPr>
          </w:pPr>
          <w:bookmarkStart w:id="228" w:name="_Toc25229342"/>
          <w:r w:rsidRPr="000D4A19">
            <w:rPr>
              <w:rFonts w:asciiTheme="minorHAnsi" w:hAnsiTheme="minorHAnsi"/>
              <w:color w:val="auto"/>
              <w:sz w:val="24"/>
              <w:szCs w:val="24"/>
              <w:u w:val="single"/>
              <w:lang w:val="en-GB"/>
            </w:rPr>
            <w:t>Oversight and enforcement</w:t>
          </w:r>
          <w:bookmarkEnd w:id="226"/>
          <w:bookmarkEnd w:id="228"/>
        </w:p>
        <w:bookmarkEnd w:id="227"/>
        <w:p w14:paraId="01FF6BAF" w14:textId="77777777" w:rsidR="009919AC" w:rsidRPr="000D4A19" w:rsidRDefault="009919AC" w:rsidP="004B7CAB">
          <w:pPr>
            <w:spacing w:after="0" w:line="240" w:lineRule="auto"/>
            <w:jc w:val="both"/>
            <w:rPr>
              <w:rFonts w:cstheme="minorHAnsi"/>
              <w:sz w:val="24"/>
              <w:szCs w:val="24"/>
              <w:lang w:val="en-GB"/>
            </w:rPr>
          </w:pPr>
        </w:p>
        <w:p w14:paraId="3ED2CEBF" w14:textId="5BFF2E4E"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229" w:name="_Toc4762897"/>
          <w:bookmarkStart w:id="230" w:name="_Toc25229343"/>
          <w:bookmarkStart w:id="231" w:name="_Toc484088363"/>
          <w:r w:rsidRPr="000D4A19">
            <w:rPr>
              <w:rFonts w:asciiTheme="minorHAnsi" w:hAnsiTheme="minorHAnsi"/>
              <w:b w:val="0"/>
              <w:i/>
              <w:color w:val="auto"/>
              <w:sz w:val="24"/>
              <w:szCs w:val="24"/>
              <w:lang w:val="en-GB"/>
            </w:rPr>
            <w:t>Internal oversight and control</w:t>
          </w:r>
          <w:bookmarkEnd w:id="229"/>
          <w:bookmarkEnd w:id="230"/>
          <w:r w:rsidR="008229F9" w:rsidRPr="000D4A19">
            <w:rPr>
              <w:rFonts w:asciiTheme="minorHAnsi" w:hAnsiTheme="minorHAnsi"/>
              <w:b w:val="0"/>
              <w:i/>
              <w:color w:val="auto"/>
              <w:sz w:val="24"/>
              <w:szCs w:val="24"/>
              <w:lang w:val="en-GB"/>
            </w:rPr>
            <w:t xml:space="preserve"> </w:t>
          </w:r>
        </w:p>
        <w:bookmarkEnd w:id="231"/>
        <w:p w14:paraId="38525BBE" w14:textId="77777777" w:rsidR="009919AC" w:rsidRPr="000D4A19" w:rsidRDefault="009919AC" w:rsidP="004B7CAB">
          <w:pPr>
            <w:spacing w:after="0" w:line="240" w:lineRule="auto"/>
            <w:jc w:val="both"/>
            <w:rPr>
              <w:rFonts w:cstheme="minorHAnsi"/>
              <w:sz w:val="24"/>
              <w:szCs w:val="24"/>
              <w:lang w:val="en-GB"/>
            </w:rPr>
          </w:pPr>
        </w:p>
        <w:p w14:paraId="204EB65B" w14:textId="65D988D4" w:rsidR="0041447D" w:rsidRPr="000D4A19" w:rsidRDefault="009919AC" w:rsidP="003915B0">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ascii="Calibri" w:eastAsiaTheme="majorEastAsia" w:hAnsi="Calibri" w:cstheme="majorBidi"/>
              <w:bCs/>
              <w:sz w:val="24"/>
              <w:szCs w:val="24"/>
              <w:lang w:val="en-GB"/>
            </w:rPr>
            <w:t xml:space="preserve">Internal control within the police is, first and foremost, the responsibility of the immediate superior of the police officer (or civil servant/employee) concerned. Furthermore, </w:t>
          </w:r>
          <w:r w:rsidRPr="000D4A19">
            <w:rPr>
              <w:rFonts w:cstheme="minorHAnsi"/>
              <w:sz w:val="24"/>
              <w:szCs w:val="24"/>
              <w:lang w:val="en-GB"/>
            </w:rPr>
            <w:t>t</w:t>
          </w:r>
          <w:r w:rsidRPr="000D4A19">
            <w:rPr>
              <w:rFonts w:ascii="Calibri" w:eastAsiaTheme="majorEastAsia" w:hAnsi="Calibri" w:cstheme="majorBidi"/>
              <w:bCs/>
              <w:sz w:val="24"/>
              <w:szCs w:val="24"/>
              <w:lang w:val="en-GB"/>
            </w:rPr>
            <w:t xml:space="preserve">he </w:t>
          </w:r>
          <w:r w:rsidRPr="000D4A19">
            <w:rPr>
              <w:rFonts w:ascii="Calibri" w:eastAsiaTheme="majorEastAsia" w:hAnsi="Calibri" w:cstheme="majorBidi"/>
              <w:bCs/>
              <w:sz w:val="24"/>
              <w:szCs w:val="24"/>
              <w:u w:val="single"/>
              <w:lang w:val="en-GB"/>
            </w:rPr>
            <w:t>Internal Control D</w:t>
          </w:r>
          <w:r w:rsidR="00B02586" w:rsidRPr="000D4A19">
            <w:rPr>
              <w:rFonts w:ascii="Calibri" w:eastAsiaTheme="majorEastAsia" w:hAnsi="Calibri" w:cstheme="majorBidi"/>
              <w:bCs/>
              <w:sz w:val="24"/>
              <w:szCs w:val="24"/>
              <w:u w:val="single"/>
              <w:lang w:val="en-GB"/>
            </w:rPr>
            <w:t>ivision</w:t>
          </w:r>
          <w:r w:rsidRPr="000D4A19">
            <w:rPr>
              <w:rFonts w:ascii="Calibri" w:eastAsiaTheme="majorEastAsia" w:hAnsi="Calibri" w:cstheme="majorBidi"/>
              <w:bCs/>
              <w:sz w:val="24"/>
              <w:szCs w:val="24"/>
              <w:lang w:val="en-GB"/>
            </w:rPr>
            <w:t xml:space="preserve"> of the Ministry of the Interior examines the legality, professionalism and ethics of the work of police officers, other civil servants and employees of the Ministry of the Interior (in accordance with Ordinance </w:t>
          </w:r>
          <w:r w:rsidR="0047711C" w:rsidRPr="000D4A19">
            <w:rPr>
              <w:rFonts w:ascii="Calibri" w:eastAsiaTheme="majorEastAsia" w:hAnsi="Calibri" w:cstheme="majorBidi"/>
              <w:bCs/>
              <w:sz w:val="24"/>
              <w:szCs w:val="24"/>
              <w:lang w:val="en-GB"/>
            </w:rPr>
            <w:t>“O</w:t>
          </w:r>
          <w:r w:rsidRPr="000D4A19">
            <w:rPr>
              <w:rFonts w:ascii="Calibri" w:eastAsiaTheme="majorEastAsia" w:hAnsi="Calibri" w:cstheme="majorBidi"/>
              <w:bCs/>
              <w:sz w:val="24"/>
              <w:szCs w:val="24"/>
              <w:lang w:val="en-GB"/>
            </w:rPr>
            <w:t xml:space="preserve">n the </w:t>
          </w:r>
          <w:r w:rsidR="0047711C" w:rsidRPr="000D4A19">
            <w:rPr>
              <w:rFonts w:ascii="Calibri" w:eastAsiaTheme="majorEastAsia" w:hAnsi="Calibri" w:cstheme="majorBidi"/>
              <w:bCs/>
              <w:sz w:val="24"/>
              <w:szCs w:val="24"/>
              <w:lang w:val="en-GB"/>
            </w:rPr>
            <w:t>m</w:t>
          </w:r>
          <w:r w:rsidRPr="000D4A19">
            <w:rPr>
              <w:rFonts w:ascii="Calibri" w:eastAsiaTheme="majorEastAsia" w:hAnsi="Calibri" w:cstheme="majorBidi"/>
              <w:bCs/>
              <w:sz w:val="24"/>
              <w:szCs w:val="24"/>
              <w:lang w:val="en-GB"/>
            </w:rPr>
            <w:t xml:space="preserve">anner of </w:t>
          </w:r>
          <w:r w:rsidR="0047711C" w:rsidRPr="000D4A19">
            <w:rPr>
              <w:rFonts w:ascii="Calibri" w:eastAsiaTheme="majorEastAsia" w:hAnsi="Calibri" w:cstheme="majorBidi"/>
              <w:bCs/>
              <w:sz w:val="24"/>
              <w:szCs w:val="24"/>
              <w:lang w:val="en-GB"/>
            </w:rPr>
            <w:t>i</w:t>
          </w:r>
          <w:r w:rsidRPr="000D4A19">
            <w:rPr>
              <w:rFonts w:ascii="Calibri" w:eastAsiaTheme="majorEastAsia" w:hAnsi="Calibri" w:cstheme="majorBidi"/>
              <w:bCs/>
              <w:sz w:val="24"/>
              <w:szCs w:val="24"/>
              <w:lang w:val="en-GB"/>
            </w:rPr>
            <w:t xml:space="preserve">mplementation of </w:t>
          </w:r>
          <w:r w:rsidR="0047711C" w:rsidRPr="000D4A19">
            <w:rPr>
              <w:rFonts w:ascii="Calibri" w:eastAsiaTheme="majorEastAsia" w:hAnsi="Calibri" w:cstheme="majorBidi"/>
              <w:bCs/>
              <w:sz w:val="24"/>
              <w:szCs w:val="24"/>
              <w:lang w:val="en-GB"/>
            </w:rPr>
            <w:t>i</w:t>
          </w:r>
          <w:r w:rsidRPr="000D4A19">
            <w:rPr>
              <w:rFonts w:ascii="Calibri" w:eastAsiaTheme="majorEastAsia" w:hAnsi="Calibri" w:cstheme="majorBidi"/>
              <w:bCs/>
              <w:sz w:val="24"/>
              <w:szCs w:val="24"/>
              <w:lang w:val="en-GB"/>
            </w:rPr>
            <w:t xml:space="preserve">nternal </w:t>
          </w:r>
          <w:r w:rsidR="0047711C" w:rsidRPr="000D4A19">
            <w:rPr>
              <w:rFonts w:ascii="Calibri" w:eastAsiaTheme="majorEastAsia" w:hAnsi="Calibri" w:cstheme="majorBidi"/>
              <w:bCs/>
              <w:sz w:val="24"/>
              <w:szCs w:val="24"/>
              <w:lang w:val="en-GB"/>
            </w:rPr>
            <w:t>c</w:t>
          </w:r>
          <w:r w:rsidRPr="000D4A19">
            <w:rPr>
              <w:rFonts w:ascii="Calibri" w:eastAsiaTheme="majorEastAsia" w:hAnsi="Calibri" w:cstheme="majorBidi"/>
              <w:bCs/>
              <w:sz w:val="24"/>
              <w:szCs w:val="24"/>
              <w:lang w:val="en-GB"/>
            </w:rPr>
            <w:t>ontrol</w:t>
          </w:r>
          <w:r w:rsidR="0047711C" w:rsidRPr="000D4A19">
            <w:rPr>
              <w:rFonts w:ascii="Calibri" w:eastAsiaTheme="majorEastAsia" w:hAnsi="Calibri" w:cstheme="majorBidi"/>
              <w:bCs/>
              <w:sz w:val="24"/>
              <w:szCs w:val="24"/>
              <w:lang w:val="en-GB"/>
            </w:rPr>
            <w:t>”</w:t>
          </w:r>
          <w:r w:rsidRPr="000D4A19">
            <w:rPr>
              <w:rFonts w:ascii="Calibri" w:eastAsiaTheme="majorEastAsia" w:hAnsi="Calibri" w:cstheme="majorBidi"/>
              <w:bCs/>
              <w:sz w:val="24"/>
              <w:szCs w:val="24"/>
              <w:lang w:val="en-GB"/>
            </w:rPr>
            <w:t xml:space="preserve">). </w:t>
          </w:r>
          <w:r w:rsidR="003915B0" w:rsidRPr="000D4A19">
            <w:rPr>
              <w:rFonts w:ascii="Calibri" w:eastAsiaTheme="majorEastAsia" w:hAnsi="Calibri" w:cstheme="majorBidi"/>
              <w:bCs/>
              <w:sz w:val="24"/>
              <w:szCs w:val="24"/>
              <w:lang w:val="en-GB"/>
            </w:rPr>
            <w:t xml:space="preserve">The GET was informed that the organisation of internal control was revised substantially in March 2019, with </w:t>
          </w:r>
          <w:r w:rsidR="00F547D5" w:rsidRPr="000D4A19">
            <w:rPr>
              <w:rFonts w:ascii="Calibri" w:eastAsiaTheme="majorEastAsia" w:hAnsi="Calibri" w:cstheme="majorBidi"/>
              <w:bCs/>
              <w:sz w:val="24"/>
              <w:szCs w:val="24"/>
              <w:lang w:val="en-GB"/>
            </w:rPr>
            <w:t xml:space="preserve">the establishment of </w:t>
          </w:r>
          <w:r w:rsidR="003915B0" w:rsidRPr="000D4A19">
            <w:rPr>
              <w:rFonts w:ascii="Calibri" w:eastAsiaTheme="majorEastAsia" w:hAnsi="Calibri" w:cstheme="majorBidi"/>
              <w:bCs/>
              <w:sz w:val="24"/>
              <w:szCs w:val="24"/>
              <w:lang w:val="en-GB"/>
            </w:rPr>
            <w:t>four dispersed units of the Internal Control D</w:t>
          </w:r>
          <w:r w:rsidR="00B02586" w:rsidRPr="000D4A19">
            <w:rPr>
              <w:rFonts w:ascii="Calibri" w:eastAsiaTheme="majorEastAsia" w:hAnsi="Calibri" w:cstheme="majorBidi"/>
              <w:bCs/>
              <w:sz w:val="24"/>
              <w:szCs w:val="24"/>
              <w:lang w:val="en-GB"/>
            </w:rPr>
            <w:t>ivision</w:t>
          </w:r>
          <w:r w:rsidR="003915B0" w:rsidRPr="000D4A19">
            <w:rPr>
              <w:rFonts w:ascii="Calibri" w:eastAsiaTheme="majorEastAsia" w:hAnsi="Calibri" w:cstheme="majorBidi"/>
              <w:bCs/>
              <w:sz w:val="24"/>
              <w:szCs w:val="24"/>
              <w:lang w:val="en-GB"/>
            </w:rPr>
            <w:t xml:space="preserve"> situated in the biggest cities of Croatia (mirroring the system of Disciplinary Tribunals). </w:t>
          </w:r>
        </w:p>
        <w:p w14:paraId="56E09A45" w14:textId="77777777" w:rsidR="003915B0" w:rsidRPr="000D4A19" w:rsidRDefault="003915B0" w:rsidP="003915B0">
          <w:pPr>
            <w:tabs>
              <w:tab w:val="left" w:pos="709"/>
              <w:tab w:val="num" w:pos="8222"/>
            </w:tabs>
            <w:spacing w:after="0" w:line="240" w:lineRule="auto"/>
            <w:jc w:val="both"/>
            <w:rPr>
              <w:rFonts w:cstheme="minorHAnsi"/>
              <w:sz w:val="24"/>
              <w:szCs w:val="24"/>
              <w:lang w:val="en-GB"/>
            </w:rPr>
          </w:pPr>
        </w:p>
        <w:p w14:paraId="4A965726" w14:textId="55A18378"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ascii="Calibri" w:eastAsiaTheme="majorEastAsia" w:hAnsi="Calibri" w:cstheme="majorBidi"/>
              <w:bCs/>
              <w:sz w:val="24"/>
              <w:szCs w:val="24"/>
              <w:lang w:val="en-GB"/>
            </w:rPr>
            <w:t>The Internal Control D</w:t>
          </w:r>
          <w:r w:rsidR="00B02586" w:rsidRPr="000D4A19">
            <w:rPr>
              <w:rFonts w:ascii="Calibri" w:eastAsiaTheme="majorEastAsia" w:hAnsi="Calibri" w:cstheme="majorBidi"/>
              <w:bCs/>
              <w:sz w:val="24"/>
              <w:szCs w:val="24"/>
              <w:lang w:val="en-GB"/>
            </w:rPr>
            <w:t>ivision</w:t>
          </w:r>
          <w:r w:rsidRPr="000D4A19">
            <w:rPr>
              <w:rFonts w:ascii="Calibri" w:eastAsiaTheme="majorEastAsia" w:hAnsi="Calibri" w:cstheme="majorBidi"/>
              <w:bCs/>
              <w:sz w:val="24"/>
              <w:szCs w:val="24"/>
              <w:lang w:val="en-GB"/>
            </w:rPr>
            <w:t xml:space="preserve"> </w:t>
          </w:r>
          <w:r w:rsidR="003915B0" w:rsidRPr="000D4A19">
            <w:rPr>
              <w:rFonts w:ascii="Calibri" w:eastAsiaTheme="majorEastAsia" w:hAnsi="Calibri" w:cstheme="majorBidi"/>
              <w:bCs/>
              <w:i/>
              <w:sz w:val="24"/>
              <w:szCs w:val="24"/>
              <w:lang w:val="en-GB"/>
            </w:rPr>
            <w:t xml:space="preserve">inter alia </w:t>
          </w:r>
          <w:r w:rsidR="003915B0" w:rsidRPr="000D4A19">
            <w:rPr>
              <w:rFonts w:ascii="Calibri" w:eastAsiaTheme="majorEastAsia" w:hAnsi="Calibri" w:cstheme="majorBidi"/>
              <w:bCs/>
              <w:sz w:val="24"/>
              <w:szCs w:val="24"/>
              <w:lang w:val="en-GB"/>
            </w:rPr>
            <w:t xml:space="preserve">examines the legality of the powers exercised by staff of the Ministry, collects and analyses data on illegal and inappropriate conduct by staff of the Ministry, implements preventive measures, prepares cases for disciplinary proceedings and prepares documentation for the Complaints Committee. It </w:t>
          </w:r>
          <w:r w:rsidRPr="000D4A19">
            <w:rPr>
              <w:rFonts w:ascii="Calibri" w:eastAsiaTheme="majorEastAsia" w:hAnsi="Calibri" w:cstheme="majorBidi"/>
              <w:bCs/>
              <w:sz w:val="24"/>
              <w:szCs w:val="24"/>
              <w:lang w:val="en-GB"/>
            </w:rPr>
            <w:t>acts on internal and external complaints, on the Minister’s instruction</w:t>
          </w:r>
          <w:r w:rsidR="008442ED" w:rsidRPr="000D4A19">
            <w:rPr>
              <w:rFonts w:ascii="Calibri" w:eastAsiaTheme="majorEastAsia" w:hAnsi="Calibri" w:cstheme="majorBidi"/>
              <w:bCs/>
              <w:sz w:val="24"/>
              <w:szCs w:val="24"/>
              <w:lang w:val="en-GB"/>
            </w:rPr>
            <w:t xml:space="preserve"> (but only to look at a general area or topic, or</w:t>
          </w:r>
          <w:r w:rsidR="00F547D5" w:rsidRPr="000D4A19">
            <w:rPr>
              <w:rFonts w:ascii="Calibri" w:eastAsiaTheme="majorEastAsia" w:hAnsi="Calibri" w:cstheme="majorBidi"/>
              <w:bCs/>
              <w:sz w:val="24"/>
              <w:szCs w:val="24"/>
              <w:lang w:val="en-GB"/>
            </w:rPr>
            <w:t xml:space="preserve"> </w:t>
          </w:r>
          <w:r w:rsidR="00F547D5" w:rsidRPr="000D4A19">
            <w:rPr>
              <w:rFonts w:ascii="Calibri" w:eastAsiaTheme="majorEastAsia" w:hAnsi="Calibri" w:cs="Calibri"/>
              <w:bCs/>
              <w:sz w:val="24"/>
              <w:szCs w:val="24"/>
              <w:lang w:val="en-GB"/>
            </w:rPr>
            <w:t>─</w:t>
          </w:r>
          <w:r w:rsidR="008442ED" w:rsidRPr="000D4A19">
            <w:rPr>
              <w:rFonts w:ascii="Calibri" w:eastAsiaTheme="majorEastAsia" w:hAnsi="Calibri" w:cstheme="majorBidi"/>
              <w:bCs/>
              <w:sz w:val="24"/>
              <w:szCs w:val="24"/>
              <w:lang w:val="en-GB"/>
            </w:rPr>
            <w:t xml:space="preserve"> exceptionally</w:t>
          </w:r>
          <w:r w:rsidR="00F547D5" w:rsidRPr="000D4A19">
            <w:rPr>
              <w:rFonts w:ascii="Calibri" w:eastAsiaTheme="majorEastAsia" w:hAnsi="Calibri" w:cstheme="majorBidi"/>
              <w:bCs/>
              <w:sz w:val="24"/>
              <w:szCs w:val="24"/>
              <w:lang w:val="en-GB"/>
            </w:rPr>
            <w:t xml:space="preserve"> </w:t>
          </w:r>
          <w:r w:rsidR="00F547D5" w:rsidRPr="000D4A19">
            <w:rPr>
              <w:rFonts w:ascii="Calibri" w:eastAsiaTheme="majorEastAsia" w:hAnsi="Calibri" w:cs="Calibri"/>
              <w:bCs/>
              <w:sz w:val="24"/>
              <w:szCs w:val="24"/>
              <w:lang w:val="en-GB"/>
            </w:rPr>
            <w:t>─</w:t>
          </w:r>
          <w:r w:rsidR="008442ED" w:rsidRPr="000D4A19">
            <w:rPr>
              <w:rFonts w:ascii="Calibri" w:eastAsiaTheme="majorEastAsia" w:hAnsi="Calibri" w:cstheme="majorBidi"/>
              <w:bCs/>
              <w:sz w:val="24"/>
              <w:szCs w:val="24"/>
              <w:lang w:val="en-GB"/>
            </w:rPr>
            <w:t xml:space="preserve"> the conduct of the Director General)</w:t>
          </w:r>
          <w:r w:rsidRPr="000D4A19">
            <w:rPr>
              <w:rFonts w:ascii="Calibri" w:eastAsiaTheme="majorEastAsia" w:hAnsi="Calibri" w:cstheme="majorBidi"/>
              <w:bCs/>
              <w:sz w:val="24"/>
              <w:szCs w:val="24"/>
              <w:lang w:val="en-GB"/>
            </w:rPr>
            <w:t xml:space="preserve">, as well as </w:t>
          </w:r>
          <w:r w:rsidRPr="000D4A19">
            <w:rPr>
              <w:rFonts w:ascii="Calibri" w:eastAsiaTheme="majorEastAsia" w:hAnsi="Calibri" w:cstheme="majorBidi"/>
              <w:bCs/>
              <w:i/>
              <w:sz w:val="24"/>
              <w:szCs w:val="24"/>
              <w:lang w:val="en-GB"/>
            </w:rPr>
            <w:t>ex officio</w:t>
          </w:r>
          <w:r w:rsidRPr="000D4A19">
            <w:rPr>
              <w:rFonts w:ascii="Calibri" w:eastAsiaTheme="majorEastAsia" w:hAnsi="Calibri" w:cstheme="majorBidi"/>
              <w:bCs/>
              <w:sz w:val="24"/>
              <w:szCs w:val="24"/>
              <w:lang w:val="en-GB"/>
            </w:rPr>
            <w:t>.</w:t>
          </w:r>
          <w:r w:rsidR="003915B0" w:rsidRPr="000D4A19">
            <w:rPr>
              <w:rFonts w:ascii="Calibri" w:eastAsiaTheme="majorEastAsia" w:hAnsi="Calibri" w:cstheme="majorBidi"/>
              <w:bCs/>
              <w:sz w:val="24"/>
              <w:szCs w:val="24"/>
              <w:lang w:val="en-GB"/>
            </w:rPr>
            <w:t xml:space="preserve"> </w:t>
          </w:r>
          <w:r w:rsidR="008442ED" w:rsidRPr="000D4A19">
            <w:rPr>
              <w:rFonts w:ascii="Calibri" w:eastAsiaTheme="majorEastAsia" w:hAnsi="Calibri" w:cstheme="majorBidi"/>
              <w:bCs/>
              <w:sz w:val="24"/>
              <w:szCs w:val="24"/>
              <w:lang w:val="en-GB"/>
            </w:rPr>
            <w:t xml:space="preserve">In general, prior to conducting internal control within the headquarters of the General Police Directorate, the Director General is to be informed. Likewise, the head of the police administration where internal control is carried out is to be informed. The Minister can order an internal investigation to be carried out into the conduct of police officers of </w:t>
          </w:r>
          <w:r w:rsidR="005E26E3" w:rsidRPr="000D4A19">
            <w:rPr>
              <w:rFonts w:ascii="Calibri" w:eastAsiaTheme="majorEastAsia" w:hAnsi="Calibri" w:cstheme="majorBidi"/>
              <w:bCs/>
              <w:sz w:val="24"/>
              <w:szCs w:val="24"/>
              <w:lang w:val="en-GB"/>
            </w:rPr>
            <w:t xml:space="preserve">the </w:t>
          </w:r>
          <w:r w:rsidR="008442ED" w:rsidRPr="000D4A19">
            <w:rPr>
              <w:rFonts w:ascii="Calibri" w:eastAsiaTheme="majorEastAsia" w:hAnsi="Calibri" w:cstheme="majorBidi"/>
              <w:bCs/>
              <w:sz w:val="24"/>
              <w:szCs w:val="24"/>
              <w:lang w:val="en-GB"/>
            </w:rPr>
            <w:t>Internal Control D</w:t>
          </w:r>
          <w:r w:rsidR="00B02586" w:rsidRPr="000D4A19">
            <w:rPr>
              <w:rFonts w:ascii="Calibri" w:eastAsiaTheme="majorEastAsia" w:hAnsi="Calibri" w:cstheme="majorBidi"/>
              <w:bCs/>
              <w:sz w:val="24"/>
              <w:szCs w:val="24"/>
              <w:lang w:val="en-GB"/>
            </w:rPr>
            <w:t>ivision</w:t>
          </w:r>
          <w:r w:rsidR="008442ED" w:rsidRPr="000D4A19">
            <w:rPr>
              <w:rFonts w:ascii="Calibri" w:eastAsiaTheme="majorEastAsia" w:hAnsi="Calibri" w:cstheme="majorBidi"/>
              <w:bCs/>
              <w:sz w:val="24"/>
              <w:szCs w:val="24"/>
              <w:lang w:val="en-GB"/>
            </w:rPr>
            <w:t xml:space="preserve"> and has</w:t>
          </w:r>
          <w:r w:rsidR="00F547D5" w:rsidRPr="000D4A19">
            <w:rPr>
              <w:rFonts w:ascii="Calibri" w:eastAsiaTheme="majorEastAsia" w:hAnsi="Calibri" w:cstheme="majorBidi"/>
              <w:bCs/>
              <w:sz w:val="24"/>
              <w:szCs w:val="24"/>
              <w:lang w:val="en-GB"/>
            </w:rPr>
            <w:t xml:space="preserve"> </w:t>
          </w:r>
          <w:r w:rsidR="008442ED" w:rsidRPr="000D4A19">
            <w:rPr>
              <w:rFonts w:ascii="Calibri" w:eastAsiaTheme="majorEastAsia" w:hAnsi="Calibri" w:cstheme="majorBidi"/>
              <w:bCs/>
              <w:sz w:val="24"/>
              <w:szCs w:val="24"/>
              <w:lang w:val="en-GB"/>
            </w:rPr>
            <w:t xml:space="preserve">to be notified prior to such investigations being carried out into the conduct of the Director General of the police. </w:t>
          </w:r>
        </w:p>
        <w:p w14:paraId="049A1F74" w14:textId="77777777" w:rsidR="009919AC" w:rsidRPr="000D4A19" w:rsidRDefault="009919AC" w:rsidP="004B7CAB">
          <w:pPr>
            <w:tabs>
              <w:tab w:val="left" w:pos="709"/>
              <w:tab w:val="num" w:pos="8222"/>
            </w:tabs>
            <w:spacing w:after="0" w:line="240" w:lineRule="auto"/>
            <w:jc w:val="both"/>
            <w:rPr>
              <w:rFonts w:cstheme="minorHAnsi"/>
              <w:sz w:val="24"/>
              <w:szCs w:val="24"/>
              <w:lang w:val="en-GB"/>
            </w:rPr>
          </w:pPr>
        </w:p>
        <w:p w14:paraId="27B56608" w14:textId="303D762D"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ascii="Calibri" w:eastAsiaTheme="majorEastAsia" w:hAnsi="Calibri" w:cstheme="majorBidi"/>
              <w:bCs/>
              <w:sz w:val="24"/>
              <w:szCs w:val="24"/>
              <w:lang w:val="en-GB"/>
            </w:rPr>
            <w:t>The Internal Control D</w:t>
          </w:r>
          <w:r w:rsidR="00B02586" w:rsidRPr="000D4A19">
            <w:rPr>
              <w:rFonts w:ascii="Calibri" w:eastAsiaTheme="majorEastAsia" w:hAnsi="Calibri" w:cstheme="majorBidi"/>
              <w:bCs/>
              <w:sz w:val="24"/>
              <w:szCs w:val="24"/>
              <w:lang w:val="en-GB"/>
            </w:rPr>
            <w:t>ivision</w:t>
          </w:r>
          <w:r w:rsidRPr="000D4A19">
            <w:rPr>
              <w:rFonts w:ascii="Calibri" w:eastAsiaTheme="majorEastAsia" w:hAnsi="Calibri" w:cstheme="majorBidi"/>
              <w:bCs/>
              <w:sz w:val="24"/>
              <w:szCs w:val="24"/>
              <w:lang w:val="en-GB"/>
            </w:rPr>
            <w:t xml:space="preserve"> can delegate some of its internal control activities to the police administrations, to police officers in charge of “lawfulness of conduct” who are hierarchically subordinate to the head of the police administration. The Minister of the Interior (or a person authorised by him/her) is responsible for overseeing internal control; the head of the police administration is responsible for the oversight of internal control carried out at a police administration. </w:t>
          </w:r>
        </w:p>
        <w:p w14:paraId="7517FFEB" w14:textId="77777777" w:rsidR="009919AC" w:rsidRPr="000D4A19" w:rsidRDefault="009919AC" w:rsidP="004B7CAB">
          <w:pPr>
            <w:spacing w:after="0" w:line="240" w:lineRule="auto"/>
            <w:jc w:val="both"/>
            <w:rPr>
              <w:rFonts w:cstheme="minorHAnsi"/>
              <w:sz w:val="24"/>
              <w:szCs w:val="24"/>
              <w:lang w:val="en-GB"/>
            </w:rPr>
          </w:pPr>
        </w:p>
        <w:p w14:paraId="3DAC7C90" w14:textId="20AF68D1" w:rsidR="00580ABC" w:rsidRPr="00580ABC" w:rsidRDefault="009919AC" w:rsidP="00580ABC">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ascii="Calibri" w:eastAsiaTheme="majorEastAsia" w:hAnsi="Calibri" w:cstheme="majorBidi"/>
              <w:bCs/>
              <w:sz w:val="24"/>
              <w:szCs w:val="24"/>
              <w:lang w:val="en-GB"/>
            </w:rPr>
            <w:t>Police officers of the Internal Control D</w:t>
          </w:r>
          <w:r w:rsidR="00B02586" w:rsidRPr="000D4A19">
            <w:rPr>
              <w:rFonts w:ascii="Calibri" w:eastAsiaTheme="majorEastAsia" w:hAnsi="Calibri" w:cstheme="majorBidi"/>
              <w:bCs/>
              <w:sz w:val="24"/>
              <w:szCs w:val="24"/>
              <w:lang w:val="en-GB"/>
            </w:rPr>
            <w:t>ivision</w:t>
          </w:r>
          <w:r w:rsidRPr="000D4A19">
            <w:rPr>
              <w:rFonts w:ascii="Calibri" w:eastAsiaTheme="majorEastAsia" w:hAnsi="Calibri" w:cstheme="majorBidi"/>
              <w:bCs/>
              <w:sz w:val="24"/>
              <w:szCs w:val="24"/>
              <w:lang w:val="en-GB"/>
            </w:rPr>
            <w:t xml:space="preserve"> are high-ranking police office</w:t>
          </w:r>
          <w:r w:rsidR="008442ED" w:rsidRPr="000D4A19">
            <w:rPr>
              <w:rFonts w:ascii="Calibri" w:eastAsiaTheme="majorEastAsia" w:hAnsi="Calibri" w:cstheme="majorBidi"/>
              <w:bCs/>
              <w:sz w:val="24"/>
              <w:szCs w:val="24"/>
              <w:lang w:val="en-GB"/>
            </w:rPr>
            <w:t>rs having passed the state exam</w:t>
          </w:r>
          <w:r w:rsidRPr="000D4A19">
            <w:rPr>
              <w:rFonts w:ascii="Calibri" w:eastAsiaTheme="majorEastAsia" w:hAnsi="Calibri" w:cstheme="majorBidi"/>
              <w:bCs/>
              <w:sz w:val="24"/>
              <w:szCs w:val="24"/>
              <w:lang w:val="en-GB"/>
            </w:rPr>
            <w:t xml:space="preserve"> of professional competence and hav</w:t>
          </w:r>
          <w:r w:rsidR="005E26E3" w:rsidRPr="000D4A19">
            <w:rPr>
              <w:rFonts w:ascii="Calibri" w:eastAsiaTheme="majorEastAsia" w:hAnsi="Calibri" w:cstheme="majorBidi"/>
              <w:bCs/>
              <w:sz w:val="24"/>
              <w:szCs w:val="24"/>
              <w:lang w:val="en-GB"/>
            </w:rPr>
            <w:t>ing</w:t>
          </w:r>
          <w:r w:rsidRPr="000D4A19">
            <w:rPr>
              <w:rFonts w:ascii="Calibri" w:eastAsiaTheme="majorEastAsia" w:hAnsi="Calibri" w:cstheme="majorBidi"/>
              <w:bCs/>
              <w:sz w:val="24"/>
              <w:szCs w:val="24"/>
              <w:lang w:val="en-GB"/>
            </w:rPr>
            <w:t xml:space="preserve"> completed a graduate degree in the area of social sciences, engineering or humanities. Given their access to classified documentation, they are subject to a security clearance every five year</w:t>
          </w:r>
          <w:r w:rsidR="008442ED" w:rsidRPr="000D4A19">
            <w:rPr>
              <w:rFonts w:ascii="Calibri" w:eastAsiaTheme="majorEastAsia" w:hAnsi="Calibri" w:cstheme="majorBidi"/>
              <w:bCs/>
              <w:sz w:val="24"/>
              <w:szCs w:val="24"/>
              <w:lang w:val="en-GB"/>
            </w:rPr>
            <w:t>s,</w:t>
          </w:r>
          <w:r w:rsidRPr="000D4A19">
            <w:rPr>
              <w:rFonts w:ascii="Calibri" w:eastAsiaTheme="majorEastAsia" w:hAnsi="Calibri" w:cstheme="majorBidi"/>
              <w:bCs/>
              <w:sz w:val="24"/>
              <w:szCs w:val="24"/>
              <w:lang w:val="en-GB"/>
            </w:rPr>
            <w:t xml:space="preserve"> in accordance with the Data Secrecy Act and the Security Clearance Act. </w:t>
          </w:r>
          <w:r w:rsidRPr="000D4A19">
            <w:rPr>
              <w:rFonts w:cstheme="minorHAnsi"/>
              <w:sz w:val="24"/>
              <w:szCs w:val="24"/>
              <w:highlight w:val="lightGray"/>
              <w:lang w:val="en-GB"/>
            </w:rPr>
            <w:t xml:space="preserve"> </w:t>
          </w:r>
        </w:p>
        <w:p w14:paraId="2B1F1D9B" w14:textId="77777777" w:rsidR="009919AC" w:rsidRPr="000D4A19" w:rsidRDefault="009919AC" w:rsidP="004B7CAB">
          <w:pPr>
            <w:spacing w:after="0" w:line="240" w:lineRule="auto"/>
            <w:jc w:val="both"/>
            <w:rPr>
              <w:rFonts w:cstheme="minorHAnsi"/>
              <w:sz w:val="24"/>
              <w:szCs w:val="24"/>
              <w:lang w:val="en-GB"/>
            </w:rPr>
          </w:pPr>
        </w:p>
        <w:p w14:paraId="63BF7D9A" w14:textId="77777777" w:rsidR="009919AC" w:rsidRPr="000D4A19" w:rsidRDefault="009919AC" w:rsidP="008442ED">
          <w:pPr>
            <w:pStyle w:val="Naslov3"/>
            <w:tabs>
              <w:tab w:val="left" w:pos="709"/>
            </w:tabs>
            <w:spacing w:before="0" w:line="240" w:lineRule="auto"/>
            <w:jc w:val="both"/>
            <w:rPr>
              <w:rFonts w:asciiTheme="minorHAnsi" w:hAnsiTheme="minorHAnsi"/>
              <w:b w:val="0"/>
              <w:i/>
              <w:color w:val="auto"/>
              <w:sz w:val="24"/>
              <w:szCs w:val="24"/>
              <w:lang w:val="en-GB"/>
            </w:rPr>
          </w:pPr>
          <w:bookmarkStart w:id="232" w:name="_Toc4762898"/>
          <w:bookmarkStart w:id="233" w:name="_Toc25229344"/>
          <w:bookmarkStart w:id="234" w:name="_Toc484088364"/>
          <w:r w:rsidRPr="000D4A19">
            <w:rPr>
              <w:rFonts w:asciiTheme="minorHAnsi" w:hAnsiTheme="minorHAnsi"/>
              <w:b w:val="0"/>
              <w:i/>
              <w:color w:val="auto"/>
              <w:sz w:val="24"/>
              <w:szCs w:val="24"/>
              <w:lang w:val="en-GB"/>
            </w:rPr>
            <w:t>External oversight and control</w:t>
          </w:r>
          <w:bookmarkEnd w:id="232"/>
          <w:bookmarkEnd w:id="233"/>
        </w:p>
        <w:bookmarkEnd w:id="234"/>
        <w:p w14:paraId="444262EC" w14:textId="77777777" w:rsidR="009919AC" w:rsidRPr="000D4A19" w:rsidRDefault="009919AC" w:rsidP="008442ED">
          <w:pPr>
            <w:keepNext/>
            <w:keepLines/>
            <w:spacing w:after="0" w:line="240" w:lineRule="auto"/>
            <w:jc w:val="both"/>
            <w:rPr>
              <w:rFonts w:cstheme="minorHAnsi"/>
              <w:sz w:val="24"/>
              <w:szCs w:val="24"/>
              <w:lang w:val="en-GB"/>
            </w:rPr>
          </w:pPr>
        </w:p>
        <w:p w14:paraId="65713C46" w14:textId="6803202F" w:rsidR="00D17CA2" w:rsidRPr="000D4A19" w:rsidRDefault="009919AC" w:rsidP="002C2D96">
          <w:pPr>
            <w:keepNext/>
            <w:keepLines/>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External oversight over different parts of the work of the police is carried out by the </w:t>
          </w:r>
          <w:r w:rsidR="00D17CA2" w:rsidRPr="000D4A19">
            <w:rPr>
              <w:rFonts w:cstheme="minorHAnsi"/>
              <w:sz w:val="24"/>
              <w:szCs w:val="24"/>
              <w:u w:val="single"/>
              <w:lang w:val="en-GB"/>
            </w:rPr>
            <w:t>Ombudsperson</w:t>
          </w:r>
          <w:r w:rsidR="00D17CA2" w:rsidRPr="000D4A19">
            <w:rPr>
              <w:rFonts w:cstheme="minorHAnsi"/>
              <w:sz w:val="24"/>
              <w:szCs w:val="24"/>
              <w:lang w:val="en-GB"/>
            </w:rPr>
            <w:t>, who</w:t>
          </w:r>
          <w:r w:rsidRPr="000D4A19">
            <w:rPr>
              <w:rFonts w:cstheme="minorHAnsi"/>
              <w:sz w:val="24"/>
              <w:szCs w:val="24"/>
              <w:lang w:val="en-GB"/>
            </w:rPr>
            <w:t xml:space="preserve"> can act upon complaints by citizens</w:t>
          </w:r>
          <w:r w:rsidR="00D17CA2" w:rsidRPr="000D4A19">
            <w:rPr>
              <w:rFonts w:cstheme="minorHAnsi"/>
              <w:sz w:val="24"/>
              <w:szCs w:val="24"/>
              <w:lang w:val="en-GB"/>
            </w:rPr>
            <w:t xml:space="preserve">. The </w:t>
          </w:r>
          <w:r w:rsidR="00E9125D" w:rsidRPr="000D4A19">
            <w:rPr>
              <w:rFonts w:cstheme="minorHAnsi"/>
              <w:sz w:val="24"/>
              <w:szCs w:val="24"/>
              <w:lang w:val="en-GB"/>
            </w:rPr>
            <w:t>GET heard that around 10</w:t>
          </w:r>
          <w:r w:rsidR="00AD4018" w:rsidRPr="000D4A19">
            <w:rPr>
              <w:rFonts w:cstheme="minorHAnsi"/>
              <w:sz w:val="24"/>
              <w:szCs w:val="24"/>
              <w:lang w:val="en-GB"/>
            </w:rPr>
            <w:t>% of the complaints the Ombudswom</w:t>
          </w:r>
          <w:r w:rsidR="00E9125D" w:rsidRPr="000D4A19">
            <w:rPr>
              <w:rFonts w:cstheme="minorHAnsi"/>
              <w:sz w:val="24"/>
              <w:szCs w:val="24"/>
              <w:lang w:val="en-GB"/>
            </w:rPr>
            <w:t xml:space="preserve">an received concerned the police. However, this mostly concerned police </w:t>
          </w:r>
          <w:r w:rsidR="00F547D5" w:rsidRPr="000D4A19">
            <w:rPr>
              <w:rFonts w:cstheme="minorHAnsi"/>
              <w:sz w:val="24"/>
              <w:szCs w:val="24"/>
              <w:lang w:val="en-GB"/>
            </w:rPr>
            <w:t>violence</w:t>
          </w:r>
          <w:r w:rsidR="00254976" w:rsidRPr="000D4A19">
            <w:rPr>
              <w:rFonts w:cstheme="minorHAnsi"/>
              <w:sz w:val="24"/>
              <w:szCs w:val="24"/>
              <w:lang w:val="en-GB"/>
            </w:rPr>
            <w:t>.</w:t>
          </w:r>
          <w:r w:rsidR="00805592" w:rsidRPr="000D4A19">
            <w:rPr>
              <w:rFonts w:cstheme="minorHAnsi"/>
              <w:sz w:val="24"/>
              <w:szCs w:val="24"/>
              <w:lang w:val="en-GB"/>
            </w:rPr>
            <w:t xml:space="preserve"> In two cases, the Ombudswoman considered that a criminal offence may have been committed and referred these to the state attorney. These two cases did not concern corruption.</w:t>
          </w:r>
          <w:r w:rsidR="004C6E4C" w:rsidRPr="000D4A19">
            <w:rPr>
              <w:rFonts w:cstheme="minorHAnsi"/>
              <w:sz w:val="24"/>
              <w:szCs w:val="24"/>
              <w:lang w:val="en-GB"/>
            </w:rPr>
            <w:t xml:space="preserve"> </w:t>
          </w:r>
        </w:p>
        <w:p w14:paraId="0C26A3B1" w14:textId="77777777" w:rsidR="00DE7655" w:rsidRPr="000D4A19" w:rsidRDefault="00DE7655" w:rsidP="00DE7655">
          <w:pPr>
            <w:tabs>
              <w:tab w:val="left" w:pos="709"/>
              <w:tab w:val="num" w:pos="8222"/>
            </w:tabs>
            <w:spacing w:after="0" w:line="240" w:lineRule="auto"/>
            <w:jc w:val="both"/>
            <w:rPr>
              <w:rFonts w:cstheme="minorHAnsi"/>
              <w:sz w:val="24"/>
              <w:szCs w:val="24"/>
              <w:lang w:val="en-GB"/>
            </w:rPr>
          </w:pPr>
        </w:p>
        <w:p w14:paraId="53E1E394" w14:textId="483AD59A" w:rsidR="0033335E" w:rsidRPr="000D4A19" w:rsidRDefault="00DE7655" w:rsidP="004B7CAB">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cstheme="minorHAnsi"/>
              <w:sz w:val="24"/>
              <w:szCs w:val="24"/>
              <w:lang w:val="en-GB"/>
            </w:rPr>
            <w:t xml:space="preserve">In addition, </w:t>
          </w:r>
          <w:r w:rsidR="009919AC" w:rsidRPr="000D4A19">
            <w:rPr>
              <w:rFonts w:cstheme="minorHAnsi"/>
              <w:sz w:val="24"/>
              <w:szCs w:val="24"/>
              <w:lang w:val="en-GB"/>
            </w:rPr>
            <w:t xml:space="preserve">the </w:t>
          </w:r>
          <w:r w:rsidR="000C52DB" w:rsidRPr="000D4A19">
            <w:rPr>
              <w:rFonts w:cstheme="minorHAnsi"/>
              <w:sz w:val="24"/>
              <w:szCs w:val="24"/>
              <w:u w:val="single"/>
              <w:lang w:val="en-GB"/>
            </w:rPr>
            <w:t>Parliament</w:t>
          </w:r>
          <w:r w:rsidR="0033335E" w:rsidRPr="000D4A19">
            <w:rPr>
              <w:rFonts w:cstheme="minorHAnsi"/>
              <w:i/>
              <w:sz w:val="24"/>
              <w:szCs w:val="24"/>
              <w:lang w:val="en-GB"/>
            </w:rPr>
            <w:t xml:space="preserve"> </w:t>
          </w:r>
          <w:r w:rsidR="0033335E" w:rsidRPr="000D4A19">
            <w:rPr>
              <w:rFonts w:cstheme="minorHAnsi"/>
              <w:sz w:val="24"/>
              <w:szCs w:val="24"/>
              <w:lang w:val="en-GB"/>
            </w:rPr>
            <w:t xml:space="preserve">performs oversight of police activities. Its </w:t>
          </w:r>
          <w:r w:rsidR="009919AC" w:rsidRPr="000D4A19">
            <w:rPr>
              <w:rFonts w:cstheme="minorHAnsi"/>
              <w:sz w:val="24"/>
              <w:szCs w:val="24"/>
              <w:lang w:val="en-GB"/>
            </w:rPr>
            <w:t>Complaint</w:t>
          </w:r>
          <w:r w:rsidR="0033335E" w:rsidRPr="000D4A19">
            <w:rPr>
              <w:rFonts w:cstheme="minorHAnsi"/>
              <w:sz w:val="24"/>
              <w:szCs w:val="24"/>
              <w:lang w:val="en-GB"/>
            </w:rPr>
            <w:t>s and Grievances Committee can loo</w:t>
          </w:r>
          <w:r w:rsidR="009919AC" w:rsidRPr="000D4A19">
            <w:rPr>
              <w:rFonts w:cstheme="minorHAnsi"/>
              <w:sz w:val="24"/>
              <w:szCs w:val="24"/>
              <w:lang w:val="en-GB"/>
            </w:rPr>
            <w:t xml:space="preserve">k into complaints by citizens </w:t>
          </w:r>
          <w:r w:rsidR="0033335E" w:rsidRPr="000D4A19">
            <w:rPr>
              <w:rFonts w:cstheme="minorHAnsi"/>
              <w:sz w:val="24"/>
              <w:szCs w:val="24"/>
              <w:lang w:val="en-GB"/>
            </w:rPr>
            <w:t xml:space="preserve">or act on the basis of media reports and request a response from the competent authority. The GET was told that from the end of 2016 until April 2019, the Committee received 183 complaints on a wide variety of matters, involving various institutions (including at times the police). In addition, the National Security Committee would discuss the budget of the police and the annual report the Minister of the Interior is required to submit on the activities of the police. Furthermore, the amendments to the Police Act envisage that the </w:t>
          </w:r>
          <w:r w:rsidR="00B34115">
            <w:rPr>
              <w:rFonts w:cstheme="minorHAnsi"/>
              <w:sz w:val="24"/>
              <w:szCs w:val="24"/>
              <w:lang w:val="en-GB"/>
            </w:rPr>
            <w:t>to-be-established C</w:t>
          </w:r>
          <w:r w:rsidR="0033335E" w:rsidRPr="000D4A19">
            <w:rPr>
              <w:rFonts w:cstheme="minorHAnsi"/>
              <w:sz w:val="24"/>
              <w:szCs w:val="24"/>
              <w:lang w:val="en-GB"/>
            </w:rPr>
            <w:t xml:space="preserve">omplaints </w:t>
          </w:r>
          <w:r w:rsidR="00B34115">
            <w:rPr>
              <w:rFonts w:cstheme="minorHAnsi"/>
              <w:sz w:val="24"/>
              <w:szCs w:val="24"/>
              <w:lang w:val="en-GB"/>
            </w:rPr>
            <w:t>C</w:t>
          </w:r>
          <w:r w:rsidR="0033335E" w:rsidRPr="000D4A19">
            <w:rPr>
              <w:rFonts w:cstheme="minorHAnsi"/>
              <w:sz w:val="24"/>
              <w:szCs w:val="24"/>
              <w:lang w:val="en-GB"/>
            </w:rPr>
            <w:t>ommi</w:t>
          </w:r>
          <w:r w:rsidR="00B34115">
            <w:rPr>
              <w:rFonts w:cstheme="minorHAnsi"/>
              <w:sz w:val="24"/>
              <w:szCs w:val="24"/>
              <w:lang w:val="en-GB"/>
            </w:rPr>
            <w:t>ttee (see below)</w:t>
          </w:r>
          <w:r w:rsidR="0033335E" w:rsidRPr="000D4A19">
            <w:rPr>
              <w:rFonts w:cstheme="minorHAnsi"/>
              <w:sz w:val="24"/>
              <w:szCs w:val="24"/>
              <w:lang w:val="en-GB"/>
            </w:rPr>
            <w:t xml:space="preserve"> will bring out an annual report to the Committee on Human and National Minority Rights of the </w:t>
          </w:r>
          <w:r w:rsidR="0033335E" w:rsidRPr="000D4A19">
            <w:rPr>
              <w:rFonts w:cstheme="minorHAnsi"/>
              <w:i/>
              <w:sz w:val="24"/>
              <w:szCs w:val="24"/>
              <w:lang w:val="en-GB"/>
            </w:rPr>
            <w:t>Sabor</w:t>
          </w:r>
          <w:r w:rsidR="0033335E" w:rsidRPr="000D4A19">
            <w:rPr>
              <w:rFonts w:cstheme="minorHAnsi"/>
              <w:sz w:val="24"/>
              <w:szCs w:val="24"/>
              <w:lang w:val="en-GB"/>
            </w:rPr>
            <w:t xml:space="preserve">. </w:t>
          </w:r>
        </w:p>
        <w:p w14:paraId="0AD3689E" w14:textId="0B5BD007" w:rsidR="0069143E" w:rsidRPr="000D4A19" w:rsidRDefault="009919AC" w:rsidP="00B34115">
          <w:pPr>
            <w:pStyle w:val="Naslov3"/>
            <w:keepNext w:val="0"/>
            <w:keepLines w:val="0"/>
            <w:tabs>
              <w:tab w:val="left" w:pos="709"/>
            </w:tabs>
            <w:spacing w:before="0" w:line="240" w:lineRule="auto"/>
            <w:jc w:val="both"/>
            <w:rPr>
              <w:lang w:val="en-GB"/>
            </w:rPr>
          </w:pPr>
          <w:bookmarkStart w:id="235" w:name="_Toc4762899"/>
          <w:bookmarkStart w:id="236" w:name="_Toc25229345"/>
          <w:r w:rsidRPr="000D4A19">
            <w:rPr>
              <w:rFonts w:asciiTheme="minorHAnsi" w:hAnsiTheme="minorHAnsi"/>
              <w:b w:val="0"/>
              <w:i/>
              <w:color w:val="auto"/>
              <w:sz w:val="24"/>
              <w:szCs w:val="24"/>
              <w:lang w:val="en-GB"/>
            </w:rPr>
            <w:t>Complaint system</w:t>
          </w:r>
          <w:bookmarkEnd w:id="235"/>
          <w:bookmarkEnd w:id="236"/>
        </w:p>
        <w:p w14:paraId="36209B67" w14:textId="77777777" w:rsidR="0069143E" w:rsidRPr="000D4A19" w:rsidRDefault="0069143E" w:rsidP="004B7CAB">
          <w:pPr>
            <w:spacing w:after="0" w:line="240" w:lineRule="auto"/>
            <w:jc w:val="both"/>
            <w:rPr>
              <w:rFonts w:cstheme="minorHAnsi"/>
              <w:sz w:val="24"/>
              <w:szCs w:val="24"/>
              <w:lang w:val="en-GB"/>
            </w:rPr>
          </w:pPr>
        </w:p>
        <w:p w14:paraId="121ADD0B" w14:textId="6E18153E" w:rsidR="002575BA" w:rsidRPr="000D4A19" w:rsidRDefault="009919AC" w:rsidP="00A33B47">
          <w:pPr>
            <w:numPr>
              <w:ilvl w:val="0"/>
              <w:numId w:val="1"/>
            </w:numPr>
            <w:tabs>
              <w:tab w:val="left" w:pos="709"/>
              <w:tab w:val="num" w:pos="1557"/>
              <w:tab w:val="num" w:pos="8222"/>
            </w:tabs>
            <w:spacing w:after="0" w:line="240" w:lineRule="auto"/>
            <w:ind w:left="0" w:firstLine="0"/>
            <w:jc w:val="both"/>
            <w:rPr>
              <w:rFonts w:cstheme="minorHAnsi"/>
              <w:b/>
              <w:color w:val="FF0000"/>
              <w:sz w:val="24"/>
              <w:szCs w:val="24"/>
              <w:lang w:val="en-GB"/>
            </w:rPr>
          </w:pPr>
          <w:r w:rsidRPr="000D4A19">
            <w:rPr>
              <w:rFonts w:ascii="Calibri" w:eastAsiaTheme="majorEastAsia" w:hAnsi="Calibri" w:cstheme="majorBidi"/>
              <w:bCs/>
              <w:sz w:val="24"/>
              <w:szCs w:val="24"/>
              <w:lang w:val="en-GB"/>
            </w:rPr>
            <w:t>Pursuant to Article 5 of the Police Act</w:t>
          </w:r>
          <w:r w:rsidR="00830FFD">
            <w:rPr>
              <w:rFonts w:ascii="Calibri" w:eastAsiaTheme="majorEastAsia" w:hAnsi="Calibri" w:cstheme="majorBidi"/>
              <w:bCs/>
              <w:sz w:val="24"/>
              <w:szCs w:val="24"/>
              <w:lang w:val="en-GB"/>
            </w:rPr>
            <w:t xml:space="preserve"> (as amended in July 2019)</w:t>
          </w:r>
          <w:r w:rsidRPr="000D4A19">
            <w:rPr>
              <w:rFonts w:ascii="Calibri" w:eastAsiaTheme="majorEastAsia" w:hAnsi="Calibri" w:cstheme="majorBidi"/>
              <w:bCs/>
              <w:sz w:val="24"/>
              <w:szCs w:val="24"/>
              <w:lang w:val="en-GB"/>
            </w:rPr>
            <w:t xml:space="preserve">, any legal or natural person who believes that his/her rights and freedoms have been violated by </w:t>
          </w:r>
          <w:r w:rsidR="00A33B47" w:rsidRPr="000D4A19">
            <w:rPr>
              <w:rFonts w:ascii="Calibri" w:eastAsiaTheme="majorEastAsia" w:hAnsi="Calibri" w:cstheme="majorBidi"/>
              <w:bCs/>
              <w:sz w:val="24"/>
              <w:szCs w:val="24"/>
              <w:lang w:val="en-GB"/>
            </w:rPr>
            <w:t>actions of a police officer (or a failure to take action) can submit a complaint to the police administration where the police officer in question works, the Ministry of the Interior (if the police officers works at the headquarters of the ministry) or the head office in Zagreb of the Internal Control D</w:t>
          </w:r>
          <w:r w:rsidR="00B02586" w:rsidRPr="000D4A19">
            <w:rPr>
              <w:rFonts w:ascii="Calibri" w:eastAsiaTheme="majorEastAsia" w:hAnsi="Calibri" w:cstheme="majorBidi"/>
              <w:bCs/>
              <w:sz w:val="24"/>
              <w:szCs w:val="24"/>
              <w:lang w:val="en-GB"/>
            </w:rPr>
            <w:t>ivision</w:t>
          </w:r>
          <w:r w:rsidR="00A33B47" w:rsidRPr="000D4A19">
            <w:rPr>
              <w:rFonts w:ascii="Calibri" w:eastAsiaTheme="majorEastAsia" w:hAnsi="Calibri" w:cstheme="majorBidi"/>
              <w:bCs/>
              <w:sz w:val="24"/>
              <w:szCs w:val="24"/>
              <w:lang w:val="en-GB"/>
            </w:rPr>
            <w:t xml:space="preserve"> (which will then forward the complaint to the competent police administration or organisational unit of the Ministry).</w:t>
          </w:r>
          <w:r w:rsidR="0037065B" w:rsidRPr="000D4A19">
            <w:rPr>
              <w:rStyle w:val="Referencafusnote"/>
              <w:rFonts w:ascii="Calibri" w:eastAsiaTheme="majorEastAsia" w:hAnsi="Calibri" w:cstheme="majorBidi"/>
              <w:bCs/>
              <w:sz w:val="24"/>
              <w:szCs w:val="24"/>
              <w:lang w:val="en-GB"/>
            </w:rPr>
            <w:footnoteReference w:id="67"/>
          </w:r>
          <w:r w:rsidR="00A33B47" w:rsidRPr="000D4A19">
            <w:rPr>
              <w:rFonts w:ascii="Calibri" w:eastAsiaTheme="majorEastAsia" w:hAnsi="Calibri" w:cstheme="majorBidi"/>
              <w:bCs/>
              <w:sz w:val="24"/>
              <w:szCs w:val="24"/>
              <w:lang w:val="en-GB"/>
            </w:rPr>
            <w:t xml:space="preserve"> </w:t>
          </w:r>
          <w:r w:rsidR="00A33B47" w:rsidRPr="000D4A19">
            <w:rPr>
              <w:rFonts w:cstheme="minorHAnsi"/>
              <w:sz w:val="24"/>
              <w:szCs w:val="24"/>
              <w:lang w:val="en-GB"/>
            </w:rPr>
            <w:t xml:space="preserve">All complaints, including anonymous ones, are to be </w:t>
          </w:r>
          <w:r w:rsidR="00D2252E" w:rsidRPr="000D4A19">
            <w:rPr>
              <w:rFonts w:cstheme="minorHAnsi"/>
              <w:sz w:val="24"/>
              <w:szCs w:val="24"/>
              <w:lang w:val="en-GB"/>
            </w:rPr>
            <w:t>registered in the</w:t>
          </w:r>
          <w:r w:rsidR="00A33B47" w:rsidRPr="000D4A19">
            <w:rPr>
              <w:rFonts w:cstheme="minorHAnsi"/>
              <w:sz w:val="24"/>
              <w:szCs w:val="24"/>
              <w:lang w:val="en-GB"/>
            </w:rPr>
            <w:t xml:space="preserve"> </w:t>
          </w:r>
          <w:r w:rsidR="00D2252E" w:rsidRPr="000D4A19">
            <w:rPr>
              <w:rFonts w:cstheme="minorHAnsi"/>
              <w:sz w:val="24"/>
              <w:szCs w:val="24"/>
              <w:lang w:val="en-GB"/>
            </w:rPr>
            <w:t xml:space="preserve">“IS MUP” </w:t>
          </w:r>
          <w:r w:rsidR="00A33B47" w:rsidRPr="000D4A19">
            <w:rPr>
              <w:rFonts w:cstheme="minorHAnsi"/>
              <w:sz w:val="24"/>
              <w:szCs w:val="24"/>
              <w:lang w:val="en-GB"/>
            </w:rPr>
            <w:t>database of the Ministry of the Interior, allowing for statistical analyses and for the Internal Control D</w:t>
          </w:r>
          <w:r w:rsidR="00B02586" w:rsidRPr="000D4A19">
            <w:rPr>
              <w:rFonts w:cstheme="minorHAnsi"/>
              <w:sz w:val="24"/>
              <w:szCs w:val="24"/>
              <w:lang w:val="en-GB"/>
            </w:rPr>
            <w:t>ivision</w:t>
          </w:r>
          <w:r w:rsidR="00A33B47" w:rsidRPr="000D4A19">
            <w:rPr>
              <w:rFonts w:cstheme="minorHAnsi"/>
              <w:sz w:val="24"/>
              <w:szCs w:val="24"/>
              <w:lang w:val="en-GB"/>
            </w:rPr>
            <w:t xml:space="preserve"> to supervise the process of handling complaints by the respective police administrations and organisational units of the Ministry of the Interior, </w:t>
          </w:r>
          <w:r w:rsidR="00D2252E" w:rsidRPr="000D4A19">
            <w:rPr>
              <w:rFonts w:cstheme="minorHAnsi"/>
              <w:sz w:val="24"/>
              <w:szCs w:val="24"/>
              <w:lang w:val="en-GB"/>
            </w:rPr>
            <w:t xml:space="preserve">and </w:t>
          </w:r>
          <w:r w:rsidR="00A33B47" w:rsidRPr="000D4A19">
            <w:rPr>
              <w:rFonts w:cstheme="minorHAnsi"/>
              <w:sz w:val="24"/>
              <w:szCs w:val="24"/>
              <w:lang w:val="en-GB"/>
            </w:rPr>
            <w:t>for further preventive measures to be taken</w:t>
          </w:r>
          <w:r w:rsidR="00D2252E" w:rsidRPr="000D4A19">
            <w:rPr>
              <w:rFonts w:cstheme="minorHAnsi"/>
              <w:sz w:val="24"/>
              <w:szCs w:val="24"/>
              <w:lang w:val="en-GB"/>
            </w:rPr>
            <w:t xml:space="preserve"> if the complaint refers to structural problems</w:t>
          </w:r>
          <w:r w:rsidR="0037065B" w:rsidRPr="000D4A19">
            <w:rPr>
              <w:rFonts w:cstheme="minorHAnsi"/>
              <w:sz w:val="24"/>
              <w:szCs w:val="24"/>
              <w:lang w:val="en-GB"/>
            </w:rPr>
            <w:t>.</w:t>
          </w:r>
          <w:r w:rsidRPr="000D4A19">
            <w:rPr>
              <w:rFonts w:ascii="Calibri" w:eastAsiaTheme="majorEastAsia" w:hAnsi="Calibri" w:cstheme="majorBidi"/>
              <w:bCs/>
              <w:sz w:val="24"/>
              <w:szCs w:val="24"/>
              <w:lang w:val="en-GB"/>
            </w:rPr>
            <w:t xml:space="preserve"> </w:t>
          </w:r>
          <w:r w:rsidR="0037065B" w:rsidRPr="000D4A19">
            <w:rPr>
              <w:rFonts w:ascii="Calibri" w:eastAsiaTheme="majorEastAsia" w:hAnsi="Calibri" w:cstheme="majorBidi"/>
              <w:bCs/>
              <w:sz w:val="24"/>
              <w:szCs w:val="24"/>
              <w:lang w:val="en-GB"/>
            </w:rPr>
            <w:t>In order to facilitate the process of submitting complaints, the Ministry of the Interior has published guidance to citizens on submitting complaints.</w:t>
          </w:r>
        </w:p>
        <w:p w14:paraId="42A75C15" w14:textId="77777777" w:rsidR="009919AC" w:rsidRPr="000D4A19" w:rsidRDefault="009919AC" w:rsidP="004B7CAB">
          <w:pPr>
            <w:spacing w:after="0" w:line="240" w:lineRule="auto"/>
            <w:jc w:val="both"/>
            <w:rPr>
              <w:rFonts w:cstheme="minorHAnsi"/>
              <w:b/>
              <w:sz w:val="24"/>
              <w:szCs w:val="24"/>
              <w:lang w:val="en-GB"/>
            </w:rPr>
          </w:pPr>
        </w:p>
        <w:p w14:paraId="59100CBC" w14:textId="645C7863" w:rsidR="009919AC" w:rsidRPr="000D4A19" w:rsidRDefault="00805592" w:rsidP="00D2252E">
          <w:pPr>
            <w:numPr>
              <w:ilvl w:val="0"/>
              <w:numId w:val="1"/>
            </w:numPr>
            <w:tabs>
              <w:tab w:val="left" w:pos="709"/>
              <w:tab w:val="num" w:pos="1557"/>
              <w:tab w:val="num" w:pos="8222"/>
            </w:tabs>
            <w:spacing w:after="0" w:line="240" w:lineRule="auto"/>
            <w:ind w:left="0" w:firstLine="0"/>
            <w:jc w:val="both"/>
            <w:rPr>
              <w:rFonts w:cstheme="minorHAnsi"/>
              <w:b/>
              <w:color w:val="FF0000"/>
              <w:sz w:val="24"/>
              <w:szCs w:val="24"/>
              <w:lang w:val="en-GB"/>
            </w:rPr>
          </w:pPr>
          <w:r w:rsidRPr="000D4A19">
            <w:rPr>
              <w:rFonts w:cstheme="minorHAnsi"/>
              <w:sz w:val="24"/>
              <w:szCs w:val="24"/>
              <w:lang w:val="en-GB"/>
            </w:rPr>
            <w:t>The head of the organisational unit to which the complaint relates will in principle always be the first instance to consider the complaints</w:t>
          </w:r>
          <w:r w:rsidR="00D2252E" w:rsidRPr="000D4A19">
            <w:rPr>
              <w:rFonts w:cstheme="minorHAnsi"/>
              <w:sz w:val="24"/>
              <w:szCs w:val="24"/>
              <w:lang w:val="en-GB"/>
            </w:rPr>
            <w:t xml:space="preserve">. </w:t>
          </w:r>
          <w:r w:rsidR="009919AC" w:rsidRPr="000D4A19">
            <w:rPr>
              <w:rFonts w:ascii="Calibri" w:eastAsiaTheme="majorEastAsia" w:hAnsi="Calibri" w:cstheme="majorBidi"/>
              <w:bCs/>
              <w:sz w:val="24"/>
              <w:szCs w:val="24"/>
              <w:lang w:val="en-GB"/>
            </w:rPr>
            <w:t>Unless the compla</w:t>
          </w:r>
          <w:r w:rsidR="00D2252E" w:rsidRPr="000D4A19">
            <w:rPr>
              <w:rFonts w:ascii="Calibri" w:eastAsiaTheme="majorEastAsia" w:hAnsi="Calibri" w:cstheme="majorBidi"/>
              <w:bCs/>
              <w:sz w:val="24"/>
              <w:szCs w:val="24"/>
              <w:lang w:val="en-GB"/>
            </w:rPr>
            <w:t xml:space="preserve">int has been made anonymously, </w:t>
          </w:r>
          <w:r w:rsidR="009919AC" w:rsidRPr="000D4A19">
            <w:rPr>
              <w:rFonts w:ascii="Calibri" w:eastAsiaTheme="majorEastAsia" w:hAnsi="Calibri" w:cstheme="majorBidi"/>
              <w:bCs/>
              <w:sz w:val="24"/>
              <w:szCs w:val="24"/>
              <w:lang w:val="en-GB"/>
            </w:rPr>
            <w:t>the</w:t>
          </w:r>
          <w:r w:rsidR="00D2252E" w:rsidRPr="000D4A19">
            <w:rPr>
              <w:rFonts w:ascii="Calibri" w:eastAsiaTheme="majorEastAsia" w:hAnsi="Calibri" w:cstheme="majorBidi"/>
              <w:bCs/>
              <w:sz w:val="24"/>
              <w:szCs w:val="24"/>
              <w:lang w:val="en-GB"/>
            </w:rPr>
            <w:t xml:space="preserve"> complainant</w:t>
          </w:r>
          <w:r w:rsidR="009919AC" w:rsidRPr="000D4A19">
            <w:rPr>
              <w:rFonts w:ascii="Calibri" w:eastAsiaTheme="majorEastAsia" w:hAnsi="Calibri" w:cstheme="majorBidi"/>
              <w:bCs/>
              <w:sz w:val="24"/>
              <w:szCs w:val="24"/>
              <w:lang w:val="en-GB"/>
            </w:rPr>
            <w:t xml:space="preserve"> </w:t>
          </w:r>
          <w:r w:rsidR="00476100" w:rsidRPr="000D4A19">
            <w:rPr>
              <w:rFonts w:ascii="Calibri" w:eastAsiaTheme="majorEastAsia" w:hAnsi="Calibri" w:cstheme="majorBidi"/>
              <w:bCs/>
              <w:sz w:val="24"/>
              <w:szCs w:val="24"/>
              <w:lang w:val="en-GB"/>
            </w:rPr>
            <w:t xml:space="preserve">has to be informed </w:t>
          </w:r>
          <w:r w:rsidR="009919AC" w:rsidRPr="000D4A19">
            <w:rPr>
              <w:rFonts w:ascii="Calibri" w:eastAsiaTheme="majorEastAsia" w:hAnsi="Calibri" w:cstheme="majorBidi"/>
              <w:bCs/>
              <w:sz w:val="24"/>
              <w:szCs w:val="24"/>
              <w:lang w:val="en-GB"/>
            </w:rPr>
            <w:t>within 30 days of the facts established and the measures</w:t>
          </w:r>
          <w:r w:rsidR="00D2252E" w:rsidRPr="000D4A19">
            <w:rPr>
              <w:rFonts w:ascii="Calibri" w:eastAsiaTheme="majorEastAsia" w:hAnsi="Calibri" w:cstheme="majorBidi"/>
              <w:bCs/>
              <w:sz w:val="24"/>
              <w:szCs w:val="24"/>
              <w:lang w:val="en-GB"/>
            </w:rPr>
            <w:t xml:space="preserve"> that have been</w:t>
          </w:r>
          <w:r w:rsidR="009919AC" w:rsidRPr="000D4A19">
            <w:rPr>
              <w:rFonts w:ascii="Calibri" w:eastAsiaTheme="majorEastAsia" w:hAnsi="Calibri" w:cstheme="majorBidi"/>
              <w:bCs/>
              <w:sz w:val="24"/>
              <w:szCs w:val="24"/>
              <w:lang w:val="en-GB"/>
            </w:rPr>
            <w:t xml:space="preserve"> taken. If the </w:t>
          </w:r>
          <w:r w:rsidR="00D2252E" w:rsidRPr="000D4A19">
            <w:rPr>
              <w:rFonts w:ascii="Calibri" w:eastAsiaTheme="majorEastAsia" w:hAnsi="Calibri" w:cstheme="majorBidi"/>
              <w:bCs/>
              <w:sz w:val="24"/>
              <w:szCs w:val="24"/>
              <w:lang w:val="en-GB"/>
            </w:rPr>
            <w:t xml:space="preserve">complainant </w:t>
          </w:r>
          <w:r w:rsidR="009919AC" w:rsidRPr="000D4A19">
            <w:rPr>
              <w:rFonts w:ascii="Calibri" w:eastAsiaTheme="majorEastAsia" w:hAnsi="Calibri" w:cstheme="majorBidi"/>
              <w:bCs/>
              <w:sz w:val="24"/>
              <w:szCs w:val="24"/>
              <w:lang w:val="en-GB"/>
            </w:rPr>
            <w:t xml:space="preserve">is not satisfied with </w:t>
          </w:r>
          <w:r w:rsidR="00D2252E" w:rsidRPr="000D4A19">
            <w:rPr>
              <w:rFonts w:ascii="Calibri" w:eastAsiaTheme="majorEastAsia" w:hAnsi="Calibri" w:cstheme="majorBidi"/>
              <w:bCs/>
              <w:sz w:val="24"/>
              <w:szCs w:val="24"/>
              <w:lang w:val="en-GB"/>
            </w:rPr>
            <w:t>this reply</w:t>
          </w:r>
          <w:r w:rsidR="009919AC" w:rsidRPr="000D4A19">
            <w:rPr>
              <w:rFonts w:ascii="Calibri" w:eastAsiaTheme="majorEastAsia" w:hAnsi="Calibri" w:cstheme="majorBidi"/>
              <w:bCs/>
              <w:sz w:val="24"/>
              <w:szCs w:val="24"/>
              <w:lang w:val="en-GB"/>
            </w:rPr>
            <w:t>, s/he may appeal to the Internal Control D</w:t>
          </w:r>
          <w:r w:rsidR="00B02586" w:rsidRPr="000D4A19">
            <w:rPr>
              <w:rFonts w:ascii="Calibri" w:eastAsiaTheme="majorEastAsia" w:hAnsi="Calibri" w:cstheme="majorBidi"/>
              <w:bCs/>
              <w:sz w:val="24"/>
              <w:szCs w:val="24"/>
              <w:lang w:val="en-GB"/>
            </w:rPr>
            <w:t>ivision</w:t>
          </w:r>
          <w:r w:rsidR="009919AC" w:rsidRPr="000D4A19">
            <w:rPr>
              <w:rFonts w:ascii="Calibri" w:eastAsiaTheme="majorEastAsia" w:hAnsi="Calibri" w:cstheme="majorBidi"/>
              <w:bCs/>
              <w:sz w:val="24"/>
              <w:szCs w:val="24"/>
              <w:lang w:val="en-GB"/>
            </w:rPr>
            <w:t>, within 15 days</w:t>
          </w:r>
          <w:r w:rsidR="00476100" w:rsidRPr="000D4A19">
            <w:rPr>
              <w:rFonts w:ascii="Calibri" w:eastAsiaTheme="majorEastAsia" w:hAnsi="Calibri" w:cstheme="majorBidi"/>
              <w:bCs/>
              <w:sz w:val="24"/>
              <w:szCs w:val="24"/>
              <w:lang w:val="en-GB"/>
            </w:rPr>
            <w:t xml:space="preserve"> thereafter.</w:t>
          </w:r>
          <w:r w:rsidR="009919AC" w:rsidRPr="000D4A19">
            <w:rPr>
              <w:rFonts w:ascii="Calibri" w:eastAsiaTheme="majorEastAsia" w:hAnsi="Calibri" w:cstheme="majorBidi"/>
              <w:bCs/>
              <w:sz w:val="24"/>
              <w:szCs w:val="24"/>
              <w:lang w:val="en-GB"/>
            </w:rPr>
            <w:t xml:space="preserve"> The Internal Control D</w:t>
          </w:r>
          <w:r w:rsidR="00B02586" w:rsidRPr="000D4A19">
            <w:rPr>
              <w:rFonts w:ascii="Calibri" w:eastAsiaTheme="majorEastAsia" w:hAnsi="Calibri" w:cstheme="majorBidi"/>
              <w:bCs/>
              <w:sz w:val="24"/>
              <w:szCs w:val="24"/>
              <w:lang w:val="en-GB"/>
            </w:rPr>
            <w:t>ivision</w:t>
          </w:r>
          <w:r w:rsidR="009919AC" w:rsidRPr="000D4A19">
            <w:rPr>
              <w:rFonts w:ascii="Calibri" w:eastAsiaTheme="majorEastAsia" w:hAnsi="Calibri" w:cstheme="majorBidi"/>
              <w:bCs/>
              <w:sz w:val="24"/>
              <w:szCs w:val="24"/>
              <w:lang w:val="en-GB"/>
            </w:rPr>
            <w:t xml:space="preserve"> is </w:t>
          </w:r>
          <w:r w:rsidR="00D2252E" w:rsidRPr="000D4A19">
            <w:rPr>
              <w:rFonts w:ascii="Calibri" w:eastAsiaTheme="majorEastAsia" w:hAnsi="Calibri" w:cstheme="majorBidi"/>
              <w:bCs/>
              <w:sz w:val="24"/>
              <w:szCs w:val="24"/>
              <w:lang w:val="en-GB"/>
            </w:rPr>
            <w:t xml:space="preserve">in turn </w:t>
          </w:r>
          <w:r w:rsidR="009919AC" w:rsidRPr="000D4A19">
            <w:rPr>
              <w:rFonts w:ascii="Calibri" w:eastAsiaTheme="majorEastAsia" w:hAnsi="Calibri" w:cstheme="majorBidi"/>
              <w:bCs/>
              <w:sz w:val="24"/>
              <w:szCs w:val="24"/>
              <w:lang w:val="en-GB"/>
            </w:rPr>
            <w:t>to inform the complainant within 30 days of possible additional investigations done and measures taken. The reply of the Internal Control D</w:t>
          </w:r>
          <w:r w:rsidR="00B02586" w:rsidRPr="000D4A19">
            <w:rPr>
              <w:rFonts w:ascii="Calibri" w:eastAsiaTheme="majorEastAsia" w:hAnsi="Calibri" w:cstheme="majorBidi"/>
              <w:bCs/>
              <w:sz w:val="24"/>
              <w:szCs w:val="24"/>
              <w:lang w:val="en-GB"/>
            </w:rPr>
            <w:t>ivision</w:t>
          </w:r>
          <w:r w:rsidR="009919AC" w:rsidRPr="000D4A19">
            <w:rPr>
              <w:rFonts w:ascii="Calibri" w:eastAsiaTheme="majorEastAsia" w:hAnsi="Calibri" w:cstheme="majorBidi"/>
              <w:bCs/>
              <w:sz w:val="24"/>
              <w:szCs w:val="24"/>
              <w:lang w:val="en-GB"/>
            </w:rPr>
            <w:t xml:space="preserve"> may in turn be appealed </w:t>
          </w:r>
          <w:r w:rsidR="00B3715E" w:rsidRPr="000D4A19">
            <w:rPr>
              <w:rFonts w:ascii="Calibri" w:eastAsiaTheme="majorEastAsia" w:hAnsi="Calibri" w:cstheme="majorBidi"/>
              <w:bCs/>
              <w:sz w:val="24"/>
              <w:szCs w:val="24"/>
              <w:lang w:val="en-GB"/>
            </w:rPr>
            <w:t xml:space="preserve">to </w:t>
          </w:r>
          <w:r w:rsidR="00830FFD">
            <w:rPr>
              <w:rFonts w:ascii="Calibri" w:eastAsiaTheme="majorEastAsia" w:hAnsi="Calibri" w:cstheme="majorBidi"/>
              <w:bCs/>
              <w:sz w:val="24"/>
              <w:szCs w:val="24"/>
              <w:lang w:val="en-GB"/>
            </w:rPr>
            <w:t>the</w:t>
          </w:r>
          <w:r w:rsidR="00B3715E" w:rsidRPr="000D4A19">
            <w:rPr>
              <w:rFonts w:ascii="Calibri" w:eastAsiaTheme="majorEastAsia" w:hAnsi="Calibri" w:cstheme="majorBidi"/>
              <w:bCs/>
              <w:sz w:val="24"/>
              <w:szCs w:val="24"/>
              <w:lang w:val="en-GB"/>
            </w:rPr>
            <w:t xml:space="preserve"> </w:t>
          </w:r>
          <w:r w:rsidR="00830FFD">
            <w:rPr>
              <w:rFonts w:ascii="Calibri" w:eastAsiaTheme="majorEastAsia" w:hAnsi="Calibri" w:cstheme="majorBidi"/>
              <w:bCs/>
              <w:sz w:val="24"/>
              <w:szCs w:val="24"/>
              <w:lang w:val="en-GB"/>
            </w:rPr>
            <w:t>C</w:t>
          </w:r>
          <w:r w:rsidR="00454252" w:rsidRPr="000D4A19">
            <w:rPr>
              <w:rFonts w:ascii="Calibri" w:eastAsiaTheme="majorEastAsia" w:hAnsi="Calibri" w:cstheme="majorBidi"/>
              <w:bCs/>
              <w:sz w:val="24"/>
              <w:szCs w:val="24"/>
              <w:lang w:val="en-GB"/>
            </w:rPr>
            <w:t xml:space="preserve">omplaints </w:t>
          </w:r>
          <w:r w:rsidR="00830FFD">
            <w:rPr>
              <w:rFonts w:ascii="Calibri" w:eastAsiaTheme="majorEastAsia" w:hAnsi="Calibri" w:cstheme="majorBidi"/>
              <w:bCs/>
              <w:sz w:val="24"/>
              <w:szCs w:val="24"/>
              <w:lang w:val="en-GB"/>
            </w:rPr>
            <w:t>C</w:t>
          </w:r>
          <w:r w:rsidR="00D2252E" w:rsidRPr="000D4A19">
            <w:rPr>
              <w:rFonts w:ascii="Calibri" w:eastAsiaTheme="majorEastAsia" w:hAnsi="Calibri" w:cstheme="majorBidi"/>
              <w:bCs/>
              <w:sz w:val="24"/>
              <w:szCs w:val="24"/>
              <w:lang w:val="en-GB"/>
            </w:rPr>
            <w:t>ommi</w:t>
          </w:r>
          <w:r w:rsidR="00195D23">
            <w:rPr>
              <w:rFonts w:ascii="Calibri" w:eastAsiaTheme="majorEastAsia" w:hAnsi="Calibri" w:cstheme="majorBidi"/>
              <w:bCs/>
              <w:sz w:val="24"/>
              <w:szCs w:val="24"/>
              <w:lang w:val="en-GB"/>
            </w:rPr>
            <w:t>ttee</w:t>
          </w:r>
          <w:r w:rsidR="00476100" w:rsidRPr="000D4A19">
            <w:rPr>
              <w:rFonts w:ascii="Calibri" w:eastAsiaTheme="majorEastAsia" w:hAnsi="Calibri" w:cstheme="majorBidi"/>
              <w:bCs/>
              <w:sz w:val="24"/>
              <w:szCs w:val="24"/>
              <w:lang w:val="en-GB"/>
            </w:rPr>
            <w:t>.</w:t>
          </w:r>
        </w:p>
        <w:p w14:paraId="520BB438" w14:textId="77777777" w:rsidR="00D2252E" w:rsidRPr="000D4A19" w:rsidRDefault="00D2252E" w:rsidP="00D2252E">
          <w:pPr>
            <w:tabs>
              <w:tab w:val="left" w:pos="709"/>
              <w:tab w:val="num" w:pos="8222"/>
            </w:tabs>
            <w:spacing w:after="0" w:line="240" w:lineRule="auto"/>
            <w:jc w:val="both"/>
            <w:rPr>
              <w:rFonts w:cstheme="minorHAnsi"/>
              <w:b/>
              <w:color w:val="FF0000"/>
              <w:sz w:val="24"/>
              <w:szCs w:val="24"/>
              <w:lang w:val="en-GB"/>
            </w:rPr>
          </w:pPr>
        </w:p>
        <w:p w14:paraId="752C4BA4" w14:textId="3DA4A274" w:rsidR="003A0916" w:rsidRDefault="00830FFD" w:rsidP="00B34115">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Pr>
              <w:rFonts w:ascii="Calibri" w:eastAsiaTheme="majorEastAsia" w:hAnsi="Calibri" w:cstheme="majorBidi"/>
              <w:bCs/>
              <w:sz w:val="24"/>
              <w:szCs w:val="24"/>
              <w:lang w:val="en-GB"/>
            </w:rPr>
            <w:t xml:space="preserve">The </w:t>
          </w:r>
          <w:r w:rsidR="00794157">
            <w:rPr>
              <w:rFonts w:ascii="Calibri" w:eastAsiaTheme="majorEastAsia" w:hAnsi="Calibri" w:cstheme="majorBidi"/>
              <w:bCs/>
              <w:sz w:val="24"/>
              <w:szCs w:val="24"/>
              <w:lang w:val="en-GB"/>
            </w:rPr>
            <w:t xml:space="preserve">recent amendments to the Police Act (which entered into force in July 2019) envisage the establishment of a central </w:t>
          </w:r>
          <w:r w:rsidR="00195D23">
            <w:rPr>
              <w:rFonts w:ascii="Calibri" w:eastAsiaTheme="majorEastAsia" w:hAnsi="Calibri" w:cstheme="majorBidi"/>
              <w:bCs/>
              <w:sz w:val="24"/>
              <w:szCs w:val="24"/>
              <w:lang w:val="en-GB"/>
            </w:rPr>
            <w:t>Complaints Committee</w:t>
          </w:r>
          <w:r w:rsidR="00794157">
            <w:rPr>
              <w:rFonts w:ascii="Calibri" w:eastAsiaTheme="majorEastAsia" w:hAnsi="Calibri" w:cstheme="majorBidi"/>
              <w:bCs/>
              <w:sz w:val="24"/>
              <w:szCs w:val="24"/>
              <w:lang w:val="en-GB"/>
            </w:rPr>
            <w:t xml:space="preserve">, comprising nine </w:t>
          </w:r>
          <w:r w:rsidR="00781028" w:rsidRPr="000D4A19">
            <w:rPr>
              <w:rFonts w:ascii="Calibri" w:eastAsiaTheme="majorEastAsia" w:hAnsi="Calibri" w:cstheme="majorBidi"/>
              <w:bCs/>
              <w:sz w:val="24"/>
              <w:szCs w:val="24"/>
              <w:lang w:val="en-GB"/>
            </w:rPr>
            <w:t>citizens “enjoying a good professional and personal reputation”</w:t>
          </w:r>
          <w:r w:rsidR="000A248A" w:rsidRPr="000D4A19">
            <w:rPr>
              <w:rFonts w:ascii="Calibri" w:eastAsiaTheme="majorEastAsia" w:hAnsi="Calibri" w:cstheme="majorBidi"/>
              <w:bCs/>
              <w:sz w:val="24"/>
              <w:szCs w:val="24"/>
              <w:lang w:val="en-GB"/>
            </w:rPr>
            <w:t>, appointed by the Parliament (on the basis of a proposal of the Parliamentary Committee for Human Rights and Right of National Minorities, following a public call and a proposal by professional and other civil society organisations)</w:t>
          </w:r>
          <w:r w:rsidR="00F547D5" w:rsidRPr="000D4A19">
            <w:rPr>
              <w:rFonts w:ascii="Calibri" w:eastAsiaTheme="majorEastAsia" w:hAnsi="Calibri" w:cstheme="majorBidi"/>
              <w:bCs/>
              <w:sz w:val="24"/>
              <w:szCs w:val="24"/>
              <w:lang w:val="en-GB"/>
            </w:rPr>
            <w:t>.</w:t>
          </w:r>
          <w:r w:rsidR="00794157">
            <w:rPr>
              <w:rStyle w:val="Referencafusnote"/>
              <w:rFonts w:ascii="Calibri" w:eastAsiaTheme="majorEastAsia" w:hAnsi="Calibri" w:cstheme="majorBidi"/>
              <w:bCs/>
              <w:sz w:val="24"/>
              <w:szCs w:val="24"/>
              <w:lang w:val="en-GB"/>
            </w:rPr>
            <w:footnoteReference w:id="68"/>
          </w:r>
          <w:r w:rsidR="00F547D5" w:rsidRPr="000D4A19">
            <w:rPr>
              <w:rFonts w:ascii="Calibri" w:eastAsiaTheme="majorEastAsia" w:hAnsi="Calibri" w:cstheme="majorBidi"/>
              <w:bCs/>
              <w:sz w:val="24"/>
              <w:szCs w:val="24"/>
              <w:lang w:val="en-GB"/>
            </w:rPr>
            <w:t xml:space="preserve"> </w:t>
          </w:r>
          <w:r w:rsidR="00195D23">
            <w:rPr>
              <w:rFonts w:ascii="Calibri" w:eastAsiaTheme="majorEastAsia" w:hAnsi="Calibri" w:cstheme="majorBidi"/>
              <w:bCs/>
              <w:sz w:val="24"/>
              <w:szCs w:val="24"/>
              <w:lang w:val="en-GB"/>
            </w:rPr>
            <w:t xml:space="preserve">Representatives of the Ministry of Interior will provide professional and assistance to Committee, but will (unlike initially foreseen) not sit on the Committee or participate in its proceedings. </w:t>
          </w:r>
          <w:r w:rsidR="00781028" w:rsidRPr="000D4A19">
            <w:rPr>
              <w:rFonts w:ascii="Calibri" w:eastAsiaTheme="majorEastAsia" w:hAnsi="Calibri" w:cstheme="majorBidi"/>
              <w:bCs/>
              <w:sz w:val="24"/>
              <w:szCs w:val="24"/>
              <w:lang w:val="en-GB"/>
            </w:rPr>
            <w:t xml:space="preserve">A </w:t>
          </w:r>
          <w:r w:rsidR="00195D23">
            <w:rPr>
              <w:rFonts w:ascii="Calibri" w:eastAsiaTheme="majorEastAsia" w:hAnsi="Calibri" w:cstheme="majorBidi"/>
              <w:bCs/>
              <w:sz w:val="24"/>
              <w:szCs w:val="24"/>
              <w:lang w:val="en-GB"/>
            </w:rPr>
            <w:t xml:space="preserve">further </w:t>
          </w:r>
          <w:r w:rsidR="00781028" w:rsidRPr="000D4A19">
            <w:rPr>
              <w:rFonts w:ascii="Calibri" w:eastAsiaTheme="majorEastAsia" w:hAnsi="Calibri" w:cstheme="majorBidi"/>
              <w:bCs/>
              <w:sz w:val="24"/>
              <w:szCs w:val="24"/>
              <w:lang w:val="en-GB"/>
            </w:rPr>
            <w:t>novelty is that</w:t>
          </w:r>
          <w:r w:rsidR="0041439D" w:rsidRPr="000D4A19">
            <w:rPr>
              <w:rFonts w:ascii="Calibri" w:eastAsiaTheme="majorEastAsia" w:hAnsi="Calibri" w:cstheme="majorBidi"/>
              <w:bCs/>
              <w:sz w:val="24"/>
              <w:szCs w:val="24"/>
              <w:lang w:val="en-GB"/>
            </w:rPr>
            <w:t xml:space="preserve"> the members of the commission will receive remuneration (five percent of the net salary paid in the Republic of Croatia in the </w:t>
          </w:r>
          <w:r w:rsidR="00732083" w:rsidRPr="000D4A19">
            <w:rPr>
              <w:rFonts w:ascii="Calibri" w:eastAsiaTheme="majorEastAsia" w:hAnsi="Calibri" w:cstheme="majorBidi"/>
              <w:bCs/>
              <w:sz w:val="24"/>
              <w:szCs w:val="24"/>
              <w:lang w:val="en-GB"/>
            </w:rPr>
            <w:t>previous</w:t>
          </w:r>
          <w:r w:rsidR="0041439D" w:rsidRPr="000D4A19">
            <w:rPr>
              <w:rFonts w:ascii="Calibri" w:eastAsiaTheme="majorEastAsia" w:hAnsi="Calibri" w:cstheme="majorBidi"/>
              <w:bCs/>
              <w:sz w:val="24"/>
              <w:szCs w:val="24"/>
              <w:lang w:val="en-GB"/>
            </w:rPr>
            <w:t xml:space="preserve"> year for their participation in Committee sessions</w:t>
          </w:r>
          <w:r w:rsidR="00732083" w:rsidRPr="000D4A19">
            <w:rPr>
              <w:rFonts w:ascii="Calibri" w:eastAsiaTheme="majorEastAsia" w:hAnsi="Calibri" w:cstheme="majorBidi"/>
              <w:bCs/>
              <w:sz w:val="24"/>
              <w:szCs w:val="24"/>
              <w:lang w:val="en-GB"/>
            </w:rPr>
            <w:t>,</w:t>
          </w:r>
          <w:r w:rsidR="0041439D" w:rsidRPr="000D4A19">
            <w:rPr>
              <w:rFonts w:ascii="Calibri" w:eastAsiaTheme="majorEastAsia" w:hAnsi="Calibri" w:cstheme="majorBidi"/>
              <w:bCs/>
              <w:sz w:val="24"/>
              <w:szCs w:val="24"/>
              <w:lang w:val="en-GB"/>
            </w:rPr>
            <w:t xml:space="preserve"> for each closed file) and are additionally subject to a security check. </w:t>
          </w:r>
        </w:p>
        <w:p w14:paraId="40E91577" w14:textId="77777777" w:rsidR="003A0916" w:rsidRPr="000D4A19" w:rsidRDefault="003A0916" w:rsidP="00875115">
          <w:pPr>
            <w:tabs>
              <w:tab w:val="left" w:pos="709"/>
              <w:tab w:val="num" w:pos="8222"/>
            </w:tabs>
            <w:spacing w:after="0" w:line="240" w:lineRule="auto"/>
            <w:jc w:val="both"/>
            <w:rPr>
              <w:rFonts w:cstheme="minorHAnsi"/>
              <w:b/>
              <w:color w:val="FF0000"/>
              <w:sz w:val="24"/>
              <w:szCs w:val="24"/>
              <w:lang w:val="en-GB"/>
            </w:rPr>
          </w:pPr>
        </w:p>
        <w:p w14:paraId="4FBBF0E3" w14:textId="06C03E6D" w:rsidR="00241073" w:rsidRPr="002B24B1" w:rsidRDefault="00C46858" w:rsidP="002B24B1">
          <w:pPr>
            <w:numPr>
              <w:ilvl w:val="0"/>
              <w:numId w:val="1"/>
            </w:numPr>
            <w:tabs>
              <w:tab w:val="left" w:pos="709"/>
              <w:tab w:val="num" w:pos="1557"/>
              <w:tab w:val="num" w:pos="8222"/>
            </w:tabs>
            <w:spacing w:after="0" w:line="240" w:lineRule="auto"/>
            <w:ind w:left="0" w:firstLine="0"/>
            <w:jc w:val="both"/>
            <w:rPr>
              <w:iCs/>
              <w:sz w:val="24"/>
              <w:szCs w:val="24"/>
              <w:lang w:val="en-GB"/>
            </w:rPr>
          </w:pPr>
          <w:r w:rsidRPr="000D4A19">
            <w:rPr>
              <w:rFonts w:cstheme="minorHAnsi"/>
              <w:sz w:val="24"/>
              <w:szCs w:val="24"/>
              <w:lang w:val="en-GB"/>
            </w:rPr>
            <w:t xml:space="preserve">The GET welcomes the efforts by the Croatian authorities to make the complaints system more operational, through the establishment of a single central commission of which the members are being paid. </w:t>
          </w:r>
          <w:r w:rsidR="00195D23">
            <w:rPr>
              <w:rFonts w:cstheme="minorHAnsi"/>
              <w:sz w:val="24"/>
              <w:szCs w:val="24"/>
              <w:lang w:val="en-GB"/>
            </w:rPr>
            <w:t>The most recent amendm</w:t>
          </w:r>
          <w:r w:rsidR="002E20EC">
            <w:rPr>
              <w:rFonts w:cstheme="minorHAnsi"/>
              <w:sz w:val="24"/>
              <w:szCs w:val="24"/>
              <w:lang w:val="en-GB"/>
            </w:rPr>
            <w:t>ents to the Police Act address</w:t>
          </w:r>
          <w:r w:rsidR="00195D23">
            <w:rPr>
              <w:rFonts w:cstheme="minorHAnsi"/>
              <w:sz w:val="24"/>
              <w:szCs w:val="24"/>
              <w:lang w:val="en-GB"/>
            </w:rPr>
            <w:t xml:space="preserve"> </w:t>
          </w:r>
          <w:r w:rsidR="003A0916">
            <w:rPr>
              <w:rFonts w:cstheme="minorHAnsi"/>
              <w:sz w:val="24"/>
              <w:szCs w:val="24"/>
              <w:lang w:val="en-GB"/>
            </w:rPr>
            <w:t xml:space="preserve">several </w:t>
          </w:r>
          <w:r w:rsidR="00195D23">
            <w:rPr>
              <w:rFonts w:cstheme="minorHAnsi"/>
              <w:sz w:val="24"/>
              <w:szCs w:val="24"/>
              <w:lang w:val="en-GB"/>
            </w:rPr>
            <w:t>misgivings</w:t>
          </w:r>
          <w:r w:rsidR="003A0916">
            <w:rPr>
              <w:rFonts w:cstheme="minorHAnsi"/>
              <w:sz w:val="24"/>
              <w:szCs w:val="24"/>
              <w:lang w:val="en-GB"/>
            </w:rPr>
            <w:t xml:space="preserve"> the GET had about the previous system. </w:t>
          </w:r>
          <w:r w:rsidR="003A0916" w:rsidRPr="000D4A19">
            <w:rPr>
              <w:rFonts w:cstheme="minorHAnsi"/>
              <w:sz w:val="24"/>
              <w:szCs w:val="24"/>
              <w:lang w:val="en-GB"/>
            </w:rPr>
            <w:t xml:space="preserve">In the view of the GET, </w:t>
          </w:r>
          <w:r w:rsidR="003A0916" w:rsidRPr="000D4A19">
            <w:rPr>
              <w:sz w:val="24"/>
              <w:szCs w:val="24"/>
              <w:lang w:val="en-GB"/>
            </w:rPr>
            <w:t>external oversight of the police is a crucial tool to ensure full accountability of the police to the public.</w:t>
          </w:r>
          <w:r w:rsidR="003A0916" w:rsidRPr="000D4A19">
            <w:rPr>
              <w:rFonts w:cstheme="minorHAnsi"/>
              <w:sz w:val="24"/>
              <w:szCs w:val="24"/>
              <w:lang w:val="en-GB"/>
            </w:rPr>
            <w:t xml:space="preserve"> </w:t>
          </w:r>
          <w:r w:rsidR="003A0916" w:rsidRPr="000D4A19">
            <w:rPr>
              <w:sz w:val="24"/>
              <w:szCs w:val="24"/>
              <w:lang w:val="en-GB"/>
            </w:rPr>
            <w:t>Not only should such oversight be independent but appear to be so for the public (especially considering the relative lack of trust in the Croatian police), and this is best achieved through a truly external body.</w:t>
          </w:r>
          <w:r w:rsidR="003A0916">
            <w:rPr>
              <w:sz w:val="24"/>
              <w:szCs w:val="24"/>
              <w:lang w:val="en-GB"/>
            </w:rPr>
            <w:t xml:space="preserve"> </w:t>
          </w:r>
          <w:r w:rsidR="003A0916">
            <w:rPr>
              <w:rFonts w:cstheme="minorHAnsi"/>
              <w:sz w:val="24"/>
              <w:szCs w:val="24"/>
              <w:lang w:val="en-GB"/>
            </w:rPr>
            <w:t>It therefore welcomes in particularly that the involvement of representatives of the Ministry of the Interior in the Complaints Committee has been substantially reduced to the extent that</w:t>
          </w:r>
          <w:r w:rsidR="002E20EC">
            <w:rPr>
              <w:rFonts w:cstheme="minorHAnsi"/>
              <w:sz w:val="24"/>
              <w:szCs w:val="24"/>
              <w:lang w:val="en-GB"/>
            </w:rPr>
            <w:t xml:space="preserve"> they</w:t>
          </w:r>
          <w:r w:rsidR="003A0916">
            <w:rPr>
              <w:rFonts w:cstheme="minorHAnsi"/>
              <w:sz w:val="24"/>
              <w:szCs w:val="24"/>
              <w:lang w:val="en-GB"/>
            </w:rPr>
            <w:t xml:space="preserve"> only </w:t>
          </w:r>
          <w:r w:rsidR="002E20EC">
            <w:rPr>
              <w:rFonts w:cstheme="minorHAnsi"/>
              <w:sz w:val="24"/>
              <w:szCs w:val="24"/>
              <w:lang w:val="en-GB"/>
            </w:rPr>
            <w:t xml:space="preserve">provide </w:t>
          </w:r>
          <w:r w:rsidR="003A0916">
            <w:rPr>
              <w:rFonts w:cstheme="minorHAnsi"/>
              <w:sz w:val="24"/>
              <w:szCs w:val="24"/>
              <w:lang w:val="en-GB"/>
            </w:rPr>
            <w:t xml:space="preserve">administrative support </w:t>
          </w:r>
          <w:r w:rsidR="002E20EC">
            <w:rPr>
              <w:rFonts w:cstheme="minorHAnsi"/>
              <w:sz w:val="24"/>
              <w:szCs w:val="24"/>
              <w:lang w:val="en-GB"/>
            </w:rPr>
            <w:t xml:space="preserve">to the Committee </w:t>
          </w:r>
          <w:r w:rsidR="003A0916">
            <w:rPr>
              <w:rFonts w:cstheme="minorHAnsi"/>
              <w:sz w:val="24"/>
              <w:szCs w:val="24"/>
              <w:lang w:val="en-GB"/>
            </w:rPr>
            <w:t xml:space="preserve">(contrary to the ideas unveiled to the GET during the on-site visit). </w:t>
          </w:r>
          <w:r w:rsidR="003B78AE">
            <w:rPr>
              <w:iCs/>
              <w:sz w:val="24"/>
              <w:szCs w:val="24"/>
              <w:lang w:val="en-GB"/>
            </w:rPr>
            <w:t xml:space="preserve">In </w:t>
          </w:r>
          <w:r w:rsidR="00241073" w:rsidRPr="003B78AE">
            <w:rPr>
              <w:iCs/>
              <w:sz w:val="24"/>
              <w:szCs w:val="24"/>
              <w:lang w:val="en-GB"/>
            </w:rPr>
            <w:t>light of the relative complexity of the system of complaints (i.e. a three-stage process of complaints and appeals, after which the complaint is referred back to the Internal Control Division, as well as the additional possibility of submitting complaints to the Committee of National Security of the Parliament), the GET finds it important that it be ensured that citizens are aware of the</w:t>
          </w:r>
          <w:r w:rsidR="003B78AE">
            <w:rPr>
              <w:iCs/>
              <w:sz w:val="24"/>
              <w:szCs w:val="24"/>
              <w:lang w:val="en-GB"/>
            </w:rPr>
            <w:t xml:space="preserve"> avenues </w:t>
          </w:r>
          <w:r w:rsidR="00241073" w:rsidRPr="003B78AE">
            <w:rPr>
              <w:iCs/>
              <w:sz w:val="24"/>
              <w:szCs w:val="24"/>
              <w:lang w:val="en-GB"/>
            </w:rPr>
            <w:t>to complain about the conduct of police officers</w:t>
          </w:r>
          <w:r w:rsidR="003B78AE">
            <w:rPr>
              <w:iCs/>
              <w:sz w:val="24"/>
              <w:szCs w:val="24"/>
              <w:lang w:val="en-GB"/>
            </w:rPr>
            <w:t xml:space="preserve">. The GET </w:t>
          </w:r>
          <w:r w:rsidR="00241073" w:rsidRPr="003B78AE">
            <w:rPr>
              <w:iCs/>
              <w:sz w:val="24"/>
              <w:szCs w:val="24"/>
              <w:lang w:val="en-GB"/>
            </w:rPr>
            <w:t xml:space="preserve">therefore urges the Croatian authorities to properly communicate the available channels for complaints against the conduct of police officers to the public. </w:t>
          </w:r>
        </w:p>
        <w:p w14:paraId="1CB25B26" w14:textId="1FD87109" w:rsidR="00A42913" w:rsidRPr="00875115" w:rsidRDefault="00D2252E" w:rsidP="00875115">
          <w:pPr>
            <w:spacing w:after="0" w:line="240" w:lineRule="auto"/>
            <w:rPr>
              <w:rFonts w:cstheme="minorHAnsi"/>
              <w:sz w:val="24"/>
              <w:szCs w:val="24"/>
              <w:lang w:val="en-GB"/>
            </w:rPr>
          </w:pPr>
          <w:r w:rsidRPr="000D4A19">
            <w:rPr>
              <w:rFonts w:cstheme="minorHAnsi"/>
              <w:b/>
              <w:i/>
              <w:color w:val="FF0000"/>
              <w:sz w:val="24"/>
              <w:szCs w:val="24"/>
              <w:lang w:val="en-GB"/>
            </w:rPr>
            <w:t xml:space="preserve"> </w:t>
          </w:r>
        </w:p>
        <w:p w14:paraId="4A9E5BF5" w14:textId="77777777" w:rsidR="009919AC" w:rsidRPr="000D4A19" w:rsidRDefault="009919AC" w:rsidP="00D245DB">
          <w:pPr>
            <w:pStyle w:val="Naslov2"/>
            <w:keepNext w:val="0"/>
            <w:keepLines w:val="0"/>
            <w:tabs>
              <w:tab w:val="left" w:pos="709"/>
            </w:tabs>
            <w:spacing w:before="0" w:line="240" w:lineRule="auto"/>
            <w:jc w:val="both"/>
            <w:rPr>
              <w:rFonts w:asciiTheme="minorHAnsi" w:hAnsiTheme="minorHAnsi"/>
              <w:color w:val="auto"/>
              <w:sz w:val="24"/>
              <w:szCs w:val="24"/>
              <w:u w:val="single"/>
              <w:lang w:val="en-GB"/>
            </w:rPr>
          </w:pPr>
          <w:bookmarkStart w:id="237" w:name="_Toc4762900"/>
          <w:bookmarkStart w:id="238" w:name="_Toc25229346"/>
          <w:bookmarkStart w:id="239" w:name="_Toc484088367"/>
          <w:r w:rsidRPr="000D4A19">
            <w:rPr>
              <w:rFonts w:asciiTheme="minorHAnsi" w:hAnsiTheme="minorHAnsi"/>
              <w:color w:val="auto"/>
              <w:sz w:val="24"/>
              <w:szCs w:val="24"/>
              <w:u w:val="single"/>
              <w:lang w:val="en-GB"/>
            </w:rPr>
            <w:t>Reporting obligations and whistleblower protection</w:t>
          </w:r>
          <w:bookmarkEnd w:id="237"/>
          <w:bookmarkEnd w:id="238"/>
        </w:p>
        <w:p w14:paraId="383AB606" w14:textId="77777777" w:rsidR="009919AC" w:rsidRPr="000D4A19" w:rsidRDefault="009919AC" w:rsidP="00D245DB">
          <w:pPr>
            <w:spacing w:after="0" w:line="240" w:lineRule="auto"/>
            <w:jc w:val="both"/>
            <w:rPr>
              <w:rFonts w:cstheme="minorHAnsi"/>
              <w:sz w:val="24"/>
              <w:szCs w:val="24"/>
              <w:lang w:val="en-GB"/>
            </w:rPr>
          </w:pPr>
        </w:p>
        <w:p w14:paraId="02CA2806" w14:textId="6594F3A6" w:rsidR="00D17CA2" w:rsidRPr="000D4A19" w:rsidRDefault="009919AC" w:rsidP="00D245D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240" w:name="_Toc4762901"/>
          <w:bookmarkStart w:id="241" w:name="_Toc25229347"/>
          <w:r w:rsidRPr="000D4A19">
            <w:rPr>
              <w:rFonts w:asciiTheme="minorHAnsi" w:hAnsiTheme="minorHAnsi"/>
              <w:b w:val="0"/>
              <w:i/>
              <w:color w:val="auto"/>
              <w:sz w:val="24"/>
              <w:szCs w:val="24"/>
              <w:lang w:val="en-GB"/>
            </w:rPr>
            <w:t>Reporting obligations</w:t>
          </w:r>
          <w:bookmarkEnd w:id="239"/>
          <w:bookmarkEnd w:id="240"/>
          <w:bookmarkEnd w:id="241"/>
        </w:p>
        <w:p w14:paraId="1E138E60" w14:textId="77777777" w:rsidR="00D17CA2" w:rsidRPr="000D4A19" w:rsidRDefault="00D17CA2" w:rsidP="00D245DB">
          <w:pPr>
            <w:spacing w:after="0" w:line="240" w:lineRule="auto"/>
            <w:jc w:val="both"/>
            <w:rPr>
              <w:rFonts w:cstheme="minorHAnsi"/>
              <w:sz w:val="24"/>
              <w:szCs w:val="24"/>
              <w:lang w:val="en-GB"/>
            </w:rPr>
          </w:pPr>
        </w:p>
        <w:p w14:paraId="61918447" w14:textId="268C8F88" w:rsidR="00A975B9" w:rsidRPr="00715CBC" w:rsidRDefault="009919AC" w:rsidP="00D245DB">
          <w:pPr>
            <w:numPr>
              <w:ilvl w:val="0"/>
              <w:numId w:val="1"/>
            </w:numPr>
            <w:tabs>
              <w:tab w:val="left" w:pos="709"/>
              <w:tab w:val="num" w:pos="1557"/>
              <w:tab w:val="num" w:pos="8222"/>
            </w:tabs>
            <w:spacing w:after="0" w:line="240" w:lineRule="auto"/>
            <w:ind w:left="0" w:firstLine="0"/>
            <w:jc w:val="both"/>
            <w:rPr>
              <w:rFonts w:ascii="Calibri" w:eastAsiaTheme="majorEastAsia" w:hAnsi="Calibri" w:cstheme="majorBidi"/>
              <w:bCs/>
              <w:sz w:val="24"/>
              <w:szCs w:val="24"/>
              <w:lang w:val="en-GB"/>
            </w:rPr>
          </w:pPr>
          <w:r w:rsidRPr="000D4A19">
            <w:rPr>
              <w:rFonts w:ascii="Calibri" w:eastAsiaTheme="majorEastAsia" w:hAnsi="Calibri" w:cstheme="majorBidi"/>
              <w:bCs/>
              <w:sz w:val="24"/>
              <w:szCs w:val="24"/>
              <w:lang w:val="en-GB"/>
            </w:rPr>
            <w:t xml:space="preserve">Police officers </w:t>
          </w:r>
          <w:r w:rsidR="00D17CA2" w:rsidRPr="000D4A19">
            <w:rPr>
              <w:rFonts w:ascii="Calibri" w:eastAsiaTheme="majorEastAsia" w:hAnsi="Calibri" w:cstheme="majorBidi"/>
              <w:bCs/>
              <w:sz w:val="24"/>
              <w:szCs w:val="24"/>
              <w:lang w:val="en-GB"/>
            </w:rPr>
            <w:t xml:space="preserve">and other staff of the police </w:t>
          </w:r>
          <w:r w:rsidR="00F547D5" w:rsidRPr="000D4A19">
            <w:rPr>
              <w:rFonts w:ascii="Calibri" w:eastAsiaTheme="majorEastAsia" w:hAnsi="Calibri" w:cstheme="majorBidi"/>
              <w:bCs/>
              <w:sz w:val="24"/>
              <w:szCs w:val="24"/>
              <w:lang w:val="en-GB"/>
            </w:rPr>
            <w:t>are</w:t>
          </w:r>
          <w:r w:rsidRPr="000D4A19">
            <w:rPr>
              <w:rFonts w:ascii="Calibri" w:eastAsiaTheme="majorEastAsia" w:hAnsi="Calibri" w:cstheme="majorBidi"/>
              <w:bCs/>
              <w:sz w:val="24"/>
              <w:szCs w:val="24"/>
              <w:lang w:val="en-GB"/>
            </w:rPr>
            <w:t xml:space="preserve"> required to report (suspected) corruption and other criminal offences, pursuant to Article 302, paragraph 2 of the Criminal Code, and are criminally liable if they do not report corruption they come across in the course of their duties.</w:t>
          </w:r>
          <w:r w:rsidRPr="000D4A19">
            <w:rPr>
              <w:rStyle w:val="Referencafusnote"/>
              <w:rFonts w:ascii="Calibri" w:eastAsiaTheme="majorEastAsia" w:hAnsi="Calibri" w:cstheme="majorBidi"/>
              <w:bCs/>
              <w:sz w:val="24"/>
              <w:szCs w:val="24"/>
              <w:lang w:val="en-GB"/>
            </w:rPr>
            <w:footnoteReference w:id="69"/>
          </w:r>
          <w:r w:rsidRPr="000D4A19">
            <w:rPr>
              <w:rFonts w:ascii="Calibri" w:eastAsiaTheme="majorEastAsia" w:hAnsi="Calibri" w:cstheme="majorBidi"/>
              <w:bCs/>
              <w:sz w:val="24"/>
              <w:szCs w:val="24"/>
              <w:lang w:val="en-GB"/>
            </w:rPr>
            <w:t xml:space="preserve"> </w:t>
          </w:r>
          <w:r w:rsidR="0015627B" w:rsidRPr="000D4A19">
            <w:rPr>
              <w:rFonts w:ascii="Calibri" w:eastAsiaTheme="majorEastAsia" w:hAnsi="Calibri" w:cstheme="majorBidi"/>
              <w:bCs/>
              <w:sz w:val="24"/>
              <w:szCs w:val="24"/>
              <w:lang w:val="en-GB"/>
            </w:rPr>
            <w:t>Staff of the p</w:t>
          </w:r>
          <w:r w:rsidRPr="000D4A19">
            <w:rPr>
              <w:rFonts w:ascii="Calibri" w:eastAsiaTheme="majorEastAsia" w:hAnsi="Calibri" w:cstheme="majorBidi"/>
              <w:bCs/>
              <w:sz w:val="24"/>
              <w:szCs w:val="24"/>
              <w:lang w:val="en-GB"/>
            </w:rPr>
            <w:t xml:space="preserve">olice can report such acts to their superior, to any other police officer or to the State Attorney’s Office. </w:t>
          </w:r>
          <w:r w:rsidR="0015627B" w:rsidRPr="000D4A19">
            <w:rPr>
              <w:rFonts w:ascii="Calibri" w:eastAsiaTheme="majorEastAsia" w:hAnsi="Calibri" w:cstheme="majorBidi"/>
              <w:bCs/>
              <w:sz w:val="24"/>
              <w:szCs w:val="24"/>
              <w:lang w:val="en-GB"/>
            </w:rPr>
            <w:t xml:space="preserve">The GET finds the lack of a requirement to report misconduct of a certain gravity (if it does not amount to a criminal offence) a weakness of the system, which </w:t>
          </w:r>
          <w:r w:rsidR="00B32090" w:rsidRPr="000D4A19">
            <w:rPr>
              <w:rFonts w:ascii="Calibri" w:eastAsiaTheme="majorEastAsia" w:hAnsi="Calibri" w:cstheme="majorBidi"/>
              <w:bCs/>
              <w:sz w:val="24"/>
              <w:szCs w:val="24"/>
              <w:lang w:val="en-GB"/>
            </w:rPr>
            <w:t xml:space="preserve">needs to </w:t>
          </w:r>
          <w:r w:rsidR="0015627B" w:rsidRPr="000D4A19">
            <w:rPr>
              <w:rFonts w:ascii="Calibri" w:eastAsiaTheme="majorEastAsia" w:hAnsi="Calibri" w:cstheme="majorBidi"/>
              <w:bCs/>
              <w:sz w:val="24"/>
              <w:szCs w:val="24"/>
              <w:lang w:val="en-GB"/>
            </w:rPr>
            <w:t xml:space="preserve">remedied. The GET heard that very few disciplinary proceedings were initiated on the basis of reports within the police service (with mostly complaints by citizens </w:t>
          </w:r>
          <w:r w:rsidR="0038708F" w:rsidRPr="000D4A19">
            <w:rPr>
              <w:rFonts w:ascii="Calibri" w:eastAsiaTheme="majorEastAsia" w:hAnsi="Calibri" w:cstheme="majorBidi"/>
              <w:bCs/>
              <w:sz w:val="24"/>
              <w:szCs w:val="24"/>
              <w:lang w:val="en-GB"/>
            </w:rPr>
            <w:t xml:space="preserve">being at the source of </w:t>
          </w:r>
          <w:r w:rsidR="0015627B" w:rsidRPr="000D4A19">
            <w:rPr>
              <w:rFonts w:ascii="Calibri" w:eastAsiaTheme="majorEastAsia" w:hAnsi="Calibri" w:cstheme="majorBidi"/>
              <w:bCs/>
              <w:sz w:val="24"/>
              <w:szCs w:val="24"/>
              <w:lang w:val="en-GB"/>
            </w:rPr>
            <w:t xml:space="preserve">such proceedings), which could point to the prevalence of a “code of silence” </w:t>
          </w:r>
          <w:r w:rsidR="0038708F" w:rsidRPr="000D4A19">
            <w:rPr>
              <w:rFonts w:ascii="Calibri" w:eastAsiaTheme="majorEastAsia" w:hAnsi="Calibri" w:cstheme="majorBidi"/>
              <w:bCs/>
              <w:sz w:val="24"/>
              <w:szCs w:val="24"/>
              <w:lang w:val="en-GB"/>
            </w:rPr>
            <w:t>in the Croatian police</w:t>
          </w:r>
          <w:r w:rsidR="0015627B" w:rsidRPr="000D4A19">
            <w:rPr>
              <w:rFonts w:ascii="Calibri" w:eastAsiaTheme="majorEastAsia" w:hAnsi="Calibri" w:cstheme="majorBidi"/>
              <w:bCs/>
              <w:sz w:val="24"/>
              <w:szCs w:val="24"/>
              <w:lang w:val="en-GB"/>
            </w:rPr>
            <w:t xml:space="preserve">. </w:t>
          </w:r>
          <w:r w:rsidR="0038708F" w:rsidRPr="000D4A19">
            <w:rPr>
              <w:rFonts w:ascii="Calibri" w:eastAsiaTheme="majorEastAsia" w:hAnsi="Calibri" w:cstheme="majorBidi"/>
              <w:bCs/>
              <w:sz w:val="24"/>
              <w:szCs w:val="24"/>
              <w:lang w:val="en-GB"/>
            </w:rPr>
            <w:t>Such a duty to report would usefully complement the new law on whistleblowing</w:t>
          </w:r>
          <w:r w:rsidR="003C5A07">
            <w:rPr>
              <w:rFonts w:ascii="Calibri" w:eastAsiaTheme="majorEastAsia" w:hAnsi="Calibri" w:cstheme="majorBidi"/>
              <w:bCs/>
              <w:sz w:val="24"/>
              <w:szCs w:val="24"/>
              <w:lang w:val="en-GB"/>
            </w:rPr>
            <w:t xml:space="preserve"> (adopted in July 2019)</w:t>
          </w:r>
          <w:r w:rsidR="0038708F" w:rsidRPr="000D4A19">
            <w:rPr>
              <w:rFonts w:ascii="Calibri" w:eastAsiaTheme="majorEastAsia" w:hAnsi="Calibri" w:cstheme="majorBidi"/>
              <w:bCs/>
              <w:sz w:val="24"/>
              <w:szCs w:val="24"/>
              <w:lang w:val="en-GB"/>
            </w:rPr>
            <w:t>.</w:t>
          </w:r>
          <w:r w:rsidR="00892DCD" w:rsidRPr="000D4A19">
            <w:rPr>
              <w:rFonts w:ascii="Calibri" w:eastAsiaTheme="majorEastAsia" w:hAnsi="Calibri" w:cstheme="majorBidi"/>
              <w:bCs/>
              <w:sz w:val="24"/>
              <w:szCs w:val="24"/>
              <w:lang w:val="en-GB"/>
            </w:rPr>
            <w:t xml:space="preserve"> Consequently, </w:t>
          </w:r>
          <w:r w:rsidR="0015627B" w:rsidRPr="000D4A19">
            <w:rPr>
              <w:rFonts w:cstheme="minorHAnsi"/>
              <w:b/>
              <w:sz w:val="24"/>
              <w:szCs w:val="24"/>
              <w:lang w:val="en-GB"/>
            </w:rPr>
            <w:t xml:space="preserve">GRECO recommends </w:t>
          </w:r>
          <w:bookmarkStart w:id="242" w:name="_Hlk22745852"/>
          <w:r w:rsidR="00892DCD" w:rsidRPr="000D4A19">
            <w:rPr>
              <w:rFonts w:cstheme="minorHAnsi"/>
              <w:b/>
              <w:sz w:val="24"/>
              <w:szCs w:val="24"/>
              <w:lang w:val="en-GB"/>
            </w:rPr>
            <w:t xml:space="preserve">that a requirement </w:t>
          </w:r>
          <w:r w:rsidR="005E26E3" w:rsidRPr="000D4A19">
            <w:rPr>
              <w:rFonts w:cstheme="minorHAnsi"/>
              <w:b/>
              <w:sz w:val="24"/>
              <w:szCs w:val="24"/>
              <w:lang w:val="en-GB"/>
            </w:rPr>
            <w:t xml:space="preserve">be established </w:t>
          </w:r>
          <w:r w:rsidR="00892DCD" w:rsidRPr="000D4A19">
            <w:rPr>
              <w:rFonts w:cstheme="minorHAnsi"/>
              <w:b/>
              <w:sz w:val="24"/>
              <w:szCs w:val="24"/>
              <w:lang w:val="en-GB"/>
            </w:rPr>
            <w:t xml:space="preserve">for police staff to report </w:t>
          </w:r>
          <w:r w:rsidR="0015627B" w:rsidRPr="000D4A19">
            <w:rPr>
              <w:rFonts w:cstheme="minorHAnsi"/>
              <w:b/>
              <w:sz w:val="24"/>
              <w:szCs w:val="24"/>
              <w:lang w:val="en-GB"/>
            </w:rPr>
            <w:t>integrity related misconduct they come across in the service</w:t>
          </w:r>
          <w:bookmarkEnd w:id="242"/>
          <w:r w:rsidR="0015627B" w:rsidRPr="000D4A19">
            <w:rPr>
              <w:rFonts w:cstheme="minorHAnsi"/>
              <w:sz w:val="24"/>
              <w:szCs w:val="24"/>
              <w:lang w:val="en-GB"/>
            </w:rPr>
            <w:t xml:space="preserve">. Such a requirement could well be part of </w:t>
          </w:r>
          <w:r w:rsidR="00394ECE" w:rsidRPr="000D4A19">
            <w:rPr>
              <w:rFonts w:cstheme="minorHAnsi"/>
              <w:sz w:val="24"/>
              <w:szCs w:val="24"/>
              <w:lang w:val="en-GB"/>
            </w:rPr>
            <w:t xml:space="preserve">a revised </w:t>
          </w:r>
          <w:r w:rsidR="0015627B" w:rsidRPr="000D4A19">
            <w:rPr>
              <w:rFonts w:cstheme="minorHAnsi"/>
              <w:sz w:val="24"/>
              <w:szCs w:val="24"/>
              <w:lang w:val="en-GB"/>
            </w:rPr>
            <w:t xml:space="preserve">code of conduct, as recommended in </w:t>
          </w:r>
          <w:r w:rsidR="0015627B" w:rsidRPr="007A42EA">
            <w:rPr>
              <w:rFonts w:cstheme="minorHAnsi"/>
              <w:sz w:val="24"/>
              <w:szCs w:val="24"/>
              <w:lang w:val="en-GB"/>
            </w:rPr>
            <w:t xml:space="preserve">paragraph </w:t>
          </w:r>
          <w:r w:rsidR="00510FEF" w:rsidRPr="007A42EA">
            <w:rPr>
              <w:rFonts w:cstheme="minorHAnsi"/>
              <w:sz w:val="24"/>
              <w:szCs w:val="24"/>
              <w:lang w:val="en-GB"/>
            </w:rPr>
            <w:t>11</w:t>
          </w:r>
          <w:r w:rsidR="00DD681C" w:rsidRPr="007A42EA">
            <w:rPr>
              <w:rFonts w:cstheme="minorHAnsi"/>
              <w:sz w:val="24"/>
              <w:szCs w:val="24"/>
              <w:lang w:val="en-GB"/>
            </w:rPr>
            <w:t>8</w:t>
          </w:r>
          <w:r w:rsidR="0015627B" w:rsidRPr="007A42EA">
            <w:rPr>
              <w:rFonts w:cstheme="minorHAnsi"/>
              <w:sz w:val="24"/>
              <w:szCs w:val="24"/>
              <w:lang w:val="en-GB"/>
            </w:rPr>
            <w:t>.</w:t>
          </w:r>
          <w:r w:rsidR="0015627B" w:rsidRPr="000D4A19">
            <w:rPr>
              <w:rFonts w:cstheme="minorHAnsi"/>
              <w:lang w:val="en-GB"/>
            </w:rPr>
            <w:t xml:space="preserve"> </w:t>
          </w:r>
        </w:p>
        <w:p w14:paraId="796B11EB" w14:textId="1B9B6972" w:rsidR="00A975B9" w:rsidRDefault="00A975B9" w:rsidP="00D245DB">
          <w:pPr>
            <w:tabs>
              <w:tab w:val="left" w:pos="709"/>
              <w:tab w:val="num" w:pos="8222"/>
            </w:tabs>
            <w:spacing w:after="0" w:line="240" w:lineRule="auto"/>
            <w:jc w:val="both"/>
            <w:rPr>
              <w:rFonts w:ascii="Calibri" w:eastAsiaTheme="majorEastAsia" w:hAnsi="Calibri" w:cstheme="majorBidi"/>
              <w:bCs/>
              <w:sz w:val="24"/>
              <w:szCs w:val="24"/>
              <w:lang w:val="en-GB"/>
            </w:rPr>
          </w:pPr>
        </w:p>
        <w:p w14:paraId="665267A6" w14:textId="77777777" w:rsidR="00A975B9" w:rsidRPr="000D4A19" w:rsidRDefault="00A975B9" w:rsidP="00D245D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243" w:name="_Toc4762902"/>
          <w:bookmarkStart w:id="244" w:name="_Toc25229348"/>
          <w:bookmarkStart w:id="245" w:name="_Toc484088368"/>
          <w:r w:rsidRPr="000D4A19">
            <w:rPr>
              <w:rFonts w:asciiTheme="minorHAnsi" w:hAnsiTheme="minorHAnsi"/>
              <w:b w:val="0"/>
              <w:i/>
              <w:color w:val="auto"/>
              <w:sz w:val="24"/>
              <w:szCs w:val="24"/>
              <w:lang w:val="en-GB"/>
            </w:rPr>
            <w:t>Whistleblower protection</w:t>
          </w:r>
          <w:bookmarkEnd w:id="243"/>
          <w:bookmarkEnd w:id="244"/>
        </w:p>
        <w:bookmarkEnd w:id="245"/>
        <w:p w14:paraId="025F3EB3" w14:textId="77777777" w:rsidR="00A975B9" w:rsidRPr="000D4A19" w:rsidRDefault="00A975B9" w:rsidP="00D245DB">
          <w:pPr>
            <w:spacing w:after="0" w:line="240" w:lineRule="auto"/>
            <w:jc w:val="both"/>
            <w:rPr>
              <w:rFonts w:cstheme="minorHAnsi"/>
              <w:i/>
              <w:sz w:val="24"/>
              <w:szCs w:val="24"/>
              <w:lang w:val="en-GB"/>
            </w:rPr>
          </w:pPr>
        </w:p>
        <w:p w14:paraId="050EE687" w14:textId="67C3E769" w:rsidR="009919AC" w:rsidRPr="00A975B9" w:rsidRDefault="009919AC" w:rsidP="00D245DB">
          <w:pPr>
            <w:numPr>
              <w:ilvl w:val="0"/>
              <w:numId w:val="1"/>
            </w:numPr>
            <w:tabs>
              <w:tab w:val="left" w:pos="709"/>
              <w:tab w:val="num" w:pos="1557"/>
              <w:tab w:val="num" w:pos="8222"/>
            </w:tabs>
            <w:spacing w:after="0" w:line="240" w:lineRule="auto"/>
            <w:ind w:left="0" w:firstLine="0"/>
            <w:jc w:val="both"/>
            <w:rPr>
              <w:rFonts w:ascii="Calibri" w:eastAsiaTheme="majorEastAsia" w:hAnsi="Calibri" w:cstheme="majorBidi"/>
              <w:bCs/>
              <w:sz w:val="24"/>
              <w:szCs w:val="24"/>
              <w:lang w:val="en-GB"/>
            </w:rPr>
          </w:pPr>
          <w:r w:rsidRPr="00A975B9">
            <w:rPr>
              <w:rFonts w:ascii="Calibri" w:eastAsiaTheme="majorEastAsia" w:hAnsi="Calibri" w:cstheme="majorBidi"/>
              <w:bCs/>
              <w:sz w:val="24"/>
              <w:szCs w:val="24"/>
              <w:lang w:val="en-GB"/>
            </w:rPr>
            <w:t>Article 14a of the Civil Servants Act provides that reporting corruption does not constitute a justified reason for a termination of employment</w:t>
          </w:r>
          <w:r w:rsidR="007D1976" w:rsidRPr="00A975B9">
            <w:rPr>
              <w:rFonts w:ascii="Calibri" w:eastAsiaTheme="majorEastAsia" w:hAnsi="Calibri" w:cstheme="majorBidi"/>
              <w:bCs/>
              <w:sz w:val="24"/>
              <w:szCs w:val="24"/>
              <w:lang w:val="en-GB"/>
            </w:rPr>
            <w:t xml:space="preserve">. </w:t>
          </w:r>
          <w:r w:rsidR="005E26E3" w:rsidRPr="00A975B9">
            <w:rPr>
              <w:rFonts w:ascii="Calibri" w:eastAsiaTheme="majorEastAsia" w:hAnsi="Calibri" w:cstheme="majorBidi"/>
              <w:bCs/>
              <w:sz w:val="24"/>
              <w:szCs w:val="24"/>
              <w:lang w:val="en-GB"/>
            </w:rPr>
            <w:t>F</w:t>
          </w:r>
          <w:r w:rsidR="007D1976" w:rsidRPr="00A975B9">
            <w:rPr>
              <w:rFonts w:ascii="Calibri" w:eastAsiaTheme="majorEastAsia" w:hAnsi="Calibri" w:cstheme="majorBidi"/>
              <w:bCs/>
              <w:sz w:val="24"/>
              <w:szCs w:val="24"/>
              <w:lang w:val="en-GB"/>
            </w:rPr>
            <w:t>urthermore</w:t>
          </w:r>
          <w:r w:rsidR="005E26E3" w:rsidRPr="00A975B9">
            <w:rPr>
              <w:rFonts w:ascii="Calibri" w:eastAsiaTheme="majorEastAsia" w:hAnsi="Calibri" w:cstheme="majorBidi"/>
              <w:bCs/>
              <w:sz w:val="24"/>
              <w:szCs w:val="24"/>
              <w:lang w:val="en-GB"/>
            </w:rPr>
            <w:t>, it</w:t>
          </w:r>
          <w:r w:rsidR="007D1976" w:rsidRPr="00A975B9">
            <w:rPr>
              <w:rFonts w:ascii="Calibri" w:eastAsiaTheme="majorEastAsia" w:hAnsi="Calibri" w:cstheme="majorBidi"/>
              <w:bCs/>
              <w:sz w:val="24"/>
              <w:szCs w:val="24"/>
              <w:lang w:val="en-GB"/>
            </w:rPr>
            <w:t xml:space="preserve"> outlines that in case the competent government body (in this case the Ministry of the Interior) deems the reported act to be a serious form of corruption, the civil servant reporting it is guaranteed anonymity, and protection against any kind of abuse or against limitation of his working rights. </w:t>
          </w:r>
          <w:r w:rsidRPr="00A975B9">
            <w:rPr>
              <w:rFonts w:ascii="Calibri" w:eastAsiaTheme="majorEastAsia" w:hAnsi="Calibri" w:cstheme="majorBidi"/>
              <w:bCs/>
              <w:sz w:val="24"/>
              <w:szCs w:val="24"/>
              <w:lang w:val="en-GB"/>
            </w:rPr>
            <w:t xml:space="preserve">Abuse of the obligation to report corruption – such as actions taken by a superior officer resulting in a violation of the right to anonymity of the person </w:t>
          </w:r>
          <w:r w:rsidR="005E26E3" w:rsidRPr="00A975B9">
            <w:rPr>
              <w:rFonts w:ascii="Calibri" w:eastAsiaTheme="majorEastAsia" w:hAnsi="Calibri" w:cstheme="majorBidi"/>
              <w:bCs/>
              <w:sz w:val="24"/>
              <w:szCs w:val="24"/>
              <w:lang w:val="en-GB"/>
            </w:rPr>
            <w:t xml:space="preserve">reporting </w:t>
          </w:r>
          <w:r w:rsidRPr="00A975B9">
            <w:rPr>
              <w:rFonts w:ascii="Calibri" w:eastAsiaTheme="majorEastAsia" w:hAnsi="Calibri" w:cstheme="majorBidi"/>
              <w:bCs/>
              <w:sz w:val="24"/>
              <w:szCs w:val="24"/>
              <w:lang w:val="en-GB"/>
            </w:rPr>
            <w:t xml:space="preserve">corruption, having his/her working rights restricted, or any other form of abuse due to the fact that s/he reported corruption – is considered a serious breach of official duty under the Civil Servants Act. The Croatian authorities indicated that they have not come across such cases in the police to date. </w:t>
          </w:r>
        </w:p>
        <w:p w14:paraId="01094980" w14:textId="476FD7C5" w:rsidR="007560E8" w:rsidRPr="000D4A19" w:rsidRDefault="007560E8" w:rsidP="00D245DB">
          <w:pPr>
            <w:tabs>
              <w:tab w:val="left" w:pos="709"/>
            </w:tabs>
            <w:spacing w:after="0" w:line="240" w:lineRule="auto"/>
            <w:jc w:val="both"/>
            <w:rPr>
              <w:rFonts w:ascii="Calibri" w:eastAsiaTheme="majorEastAsia" w:hAnsi="Calibri" w:cstheme="majorBidi"/>
              <w:bCs/>
              <w:sz w:val="24"/>
              <w:szCs w:val="24"/>
              <w:lang w:val="en-GB"/>
            </w:rPr>
          </w:pPr>
        </w:p>
        <w:p w14:paraId="394C9545" w14:textId="1BFC282A" w:rsidR="00D66410" w:rsidRPr="009A4318" w:rsidRDefault="007D1976" w:rsidP="00D245DB">
          <w:pPr>
            <w:numPr>
              <w:ilvl w:val="0"/>
              <w:numId w:val="1"/>
            </w:numPr>
            <w:tabs>
              <w:tab w:val="num" w:pos="720"/>
            </w:tabs>
            <w:spacing w:after="0" w:line="240" w:lineRule="auto"/>
            <w:ind w:left="0" w:firstLine="0"/>
            <w:jc w:val="both"/>
            <w:rPr>
              <w:rFonts w:cstheme="minorHAnsi"/>
              <w:b/>
              <w:sz w:val="24"/>
              <w:szCs w:val="24"/>
              <w:lang w:val="en-GB"/>
            </w:rPr>
          </w:pPr>
          <w:r w:rsidRPr="000D4A19">
            <w:rPr>
              <w:rFonts w:ascii="Calibri" w:eastAsiaTheme="majorEastAsia" w:hAnsi="Calibri" w:cstheme="majorBidi"/>
              <w:bCs/>
              <w:sz w:val="24"/>
              <w:szCs w:val="24"/>
              <w:lang w:val="en-GB"/>
            </w:rPr>
            <w:t xml:space="preserve">Moreover, </w:t>
          </w:r>
          <w:r w:rsidR="00B32090" w:rsidRPr="000D4A19">
            <w:rPr>
              <w:rFonts w:ascii="Calibri" w:eastAsiaTheme="majorEastAsia" w:hAnsi="Calibri" w:cstheme="majorBidi"/>
              <w:bCs/>
              <w:sz w:val="24"/>
              <w:szCs w:val="24"/>
              <w:lang w:val="en-GB"/>
            </w:rPr>
            <w:t xml:space="preserve">after </w:t>
          </w:r>
          <w:r w:rsidRPr="000D4A19">
            <w:rPr>
              <w:rFonts w:ascii="Calibri" w:eastAsiaTheme="majorEastAsia" w:hAnsi="Calibri" w:cstheme="majorBidi"/>
              <w:bCs/>
              <w:sz w:val="24"/>
              <w:szCs w:val="24"/>
              <w:lang w:val="en-GB"/>
            </w:rPr>
            <w:t xml:space="preserve">the visit by the GET, on 1 July 2019, </w:t>
          </w:r>
          <w:r w:rsidRPr="000D4A19">
            <w:rPr>
              <w:rFonts w:ascii="Calibri" w:eastAsiaTheme="majorEastAsia" w:hAnsi="Calibri" w:cstheme="majorBidi"/>
              <w:bCs/>
              <w:sz w:val="24"/>
              <w:szCs w:val="24"/>
              <w:u w:val="single"/>
              <w:lang w:val="en-GB"/>
            </w:rPr>
            <w:t xml:space="preserve">the Act on </w:t>
          </w:r>
          <w:r w:rsidR="009919AC" w:rsidRPr="000D4A19">
            <w:rPr>
              <w:rFonts w:ascii="Calibri" w:eastAsiaTheme="majorEastAsia" w:hAnsi="Calibri" w:cstheme="majorBidi"/>
              <w:bCs/>
              <w:sz w:val="24"/>
              <w:szCs w:val="24"/>
              <w:u w:val="single"/>
              <w:lang w:val="en-GB"/>
            </w:rPr>
            <w:t>the Protection of Reporters o</w:t>
          </w:r>
          <w:r w:rsidR="00D602A6" w:rsidRPr="000D4A19">
            <w:rPr>
              <w:rFonts w:ascii="Calibri" w:eastAsiaTheme="majorEastAsia" w:hAnsi="Calibri" w:cstheme="majorBidi"/>
              <w:bCs/>
              <w:sz w:val="24"/>
              <w:szCs w:val="24"/>
              <w:u w:val="single"/>
              <w:lang w:val="en-GB"/>
            </w:rPr>
            <w:t>f Irregularities (Whistleblower</w:t>
          </w:r>
          <w:r w:rsidR="0041447D" w:rsidRPr="000D4A19">
            <w:rPr>
              <w:rFonts w:ascii="Calibri" w:eastAsiaTheme="majorEastAsia" w:hAnsi="Calibri" w:cstheme="majorBidi"/>
              <w:bCs/>
              <w:sz w:val="24"/>
              <w:szCs w:val="24"/>
              <w:u w:val="single"/>
              <w:lang w:val="en-GB"/>
            </w:rPr>
            <w:t>s</w:t>
          </w:r>
          <w:r w:rsidRPr="000D4A19">
            <w:rPr>
              <w:rFonts w:ascii="Calibri" w:eastAsiaTheme="majorEastAsia" w:hAnsi="Calibri" w:cstheme="majorBidi"/>
              <w:bCs/>
              <w:sz w:val="24"/>
              <w:szCs w:val="24"/>
              <w:u w:val="single"/>
              <w:lang w:val="en-GB"/>
            </w:rPr>
            <w:t xml:space="preserve"> Act</w:t>
          </w:r>
          <w:r w:rsidR="009919AC" w:rsidRPr="000D4A19">
            <w:rPr>
              <w:rFonts w:ascii="Calibri" w:eastAsiaTheme="majorEastAsia" w:hAnsi="Calibri" w:cstheme="majorBidi"/>
              <w:bCs/>
              <w:sz w:val="24"/>
              <w:szCs w:val="24"/>
              <w:lang w:val="en-GB"/>
            </w:rPr>
            <w:t>)</w:t>
          </w:r>
          <w:r w:rsidR="002E20EC">
            <w:rPr>
              <w:rFonts w:ascii="Calibri" w:eastAsiaTheme="majorEastAsia" w:hAnsi="Calibri" w:cstheme="majorBidi"/>
              <w:bCs/>
              <w:sz w:val="24"/>
              <w:szCs w:val="24"/>
              <w:lang w:val="en-GB"/>
            </w:rPr>
            <w:t xml:space="preserve"> entered into force</w:t>
          </w:r>
          <w:r w:rsidR="00B32090" w:rsidRPr="000D4A19">
            <w:rPr>
              <w:rFonts w:ascii="Calibri" w:eastAsiaTheme="majorEastAsia" w:hAnsi="Calibri" w:cstheme="majorBidi"/>
              <w:bCs/>
              <w:sz w:val="24"/>
              <w:szCs w:val="24"/>
              <w:lang w:val="en-GB"/>
            </w:rPr>
            <w:t xml:space="preserve">. This </w:t>
          </w:r>
          <w:r w:rsidR="009E41C9" w:rsidRPr="000D4A19">
            <w:rPr>
              <w:rFonts w:ascii="Calibri" w:eastAsiaTheme="majorEastAsia" w:hAnsi="Calibri" w:cstheme="majorBidi"/>
              <w:bCs/>
              <w:sz w:val="24"/>
              <w:szCs w:val="24"/>
              <w:lang w:val="en-GB"/>
            </w:rPr>
            <w:t>law</w:t>
          </w:r>
          <w:r w:rsidRPr="000D4A19">
            <w:rPr>
              <w:rFonts w:ascii="Calibri" w:eastAsiaTheme="majorEastAsia" w:hAnsi="Calibri" w:cstheme="majorBidi"/>
              <w:bCs/>
              <w:sz w:val="24"/>
              <w:szCs w:val="24"/>
              <w:lang w:val="en-GB"/>
            </w:rPr>
            <w:t xml:space="preserve"> combines all legal standards for the protection of whistleblowers in one act (as a </w:t>
          </w:r>
          <w:r w:rsidRPr="000D4A19">
            <w:rPr>
              <w:rFonts w:ascii="Calibri" w:eastAsiaTheme="majorEastAsia" w:hAnsi="Calibri" w:cstheme="majorBidi"/>
              <w:bCs/>
              <w:i/>
              <w:sz w:val="24"/>
              <w:szCs w:val="24"/>
              <w:lang w:val="en-GB"/>
            </w:rPr>
            <w:t>lex specialis</w:t>
          </w:r>
          <w:r w:rsidRPr="000D4A19">
            <w:rPr>
              <w:rFonts w:ascii="Calibri" w:eastAsiaTheme="majorEastAsia" w:hAnsi="Calibri" w:cstheme="majorBidi"/>
              <w:bCs/>
              <w:sz w:val="24"/>
              <w:szCs w:val="24"/>
              <w:lang w:val="en-GB"/>
            </w:rPr>
            <w:t>)</w:t>
          </w:r>
          <w:r w:rsidR="00A34EB7" w:rsidRPr="000D4A19">
            <w:rPr>
              <w:rFonts w:ascii="Calibri" w:eastAsiaTheme="majorEastAsia" w:hAnsi="Calibri" w:cstheme="majorBidi"/>
              <w:bCs/>
              <w:sz w:val="24"/>
              <w:szCs w:val="24"/>
              <w:lang w:val="en-GB"/>
            </w:rPr>
            <w:t>, envisages a similar protection for people working in the private sector as people in the public sector</w:t>
          </w:r>
          <w:r w:rsidRPr="000D4A19">
            <w:rPr>
              <w:rFonts w:ascii="Calibri" w:eastAsiaTheme="majorEastAsia" w:hAnsi="Calibri" w:cstheme="majorBidi"/>
              <w:bCs/>
              <w:sz w:val="24"/>
              <w:szCs w:val="24"/>
              <w:lang w:val="en-GB"/>
            </w:rPr>
            <w:t>.</w:t>
          </w:r>
          <w:r w:rsidR="009E41C9" w:rsidRPr="000D4A19">
            <w:rPr>
              <w:rFonts w:ascii="Calibri" w:eastAsiaTheme="majorEastAsia" w:hAnsi="Calibri" w:cstheme="majorBidi"/>
              <w:bCs/>
              <w:sz w:val="24"/>
              <w:szCs w:val="24"/>
              <w:lang w:val="en-GB"/>
            </w:rPr>
            <w:t xml:space="preserve"> As such the law will also be applicable to the police (</w:t>
          </w:r>
          <w:r w:rsidR="00632574">
            <w:rPr>
              <w:rFonts w:ascii="Calibri" w:eastAsiaTheme="majorEastAsia" w:hAnsi="Calibri" w:cstheme="majorBidi"/>
              <w:bCs/>
              <w:sz w:val="24"/>
              <w:szCs w:val="24"/>
              <w:lang w:val="en-GB"/>
            </w:rPr>
            <w:t>providing a broader protection than</w:t>
          </w:r>
          <w:r w:rsidR="0050764E" w:rsidRPr="000D4A19">
            <w:rPr>
              <w:rFonts w:ascii="Calibri" w:eastAsiaTheme="majorEastAsia" w:hAnsi="Calibri" w:cstheme="majorBidi"/>
              <w:bCs/>
              <w:sz w:val="24"/>
              <w:szCs w:val="24"/>
              <w:lang w:val="en-GB"/>
            </w:rPr>
            <w:t xml:space="preserve"> is</w:t>
          </w:r>
          <w:r w:rsidR="00DA21C4">
            <w:rPr>
              <w:rFonts w:ascii="Calibri" w:eastAsiaTheme="majorEastAsia" w:hAnsi="Calibri" w:cstheme="majorBidi"/>
              <w:bCs/>
              <w:sz w:val="24"/>
              <w:szCs w:val="24"/>
              <w:lang w:val="en-GB"/>
            </w:rPr>
            <w:t xml:space="preserve"> envisaged by </w:t>
          </w:r>
          <w:r w:rsidR="0050764E" w:rsidRPr="000D4A19">
            <w:rPr>
              <w:rFonts w:ascii="Calibri" w:eastAsiaTheme="majorEastAsia" w:hAnsi="Calibri" w:cstheme="majorBidi"/>
              <w:bCs/>
              <w:sz w:val="24"/>
              <w:szCs w:val="24"/>
              <w:lang w:val="en-GB"/>
            </w:rPr>
            <w:t>the Civil Servants Act</w:t>
          </w:r>
          <w:r w:rsidR="008B212D">
            <w:rPr>
              <w:rFonts w:ascii="Calibri" w:eastAsiaTheme="majorEastAsia" w:hAnsi="Calibri" w:cstheme="majorBidi"/>
              <w:bCs/>
              <w:sz w:val="24"/>
              <w:szCs w:val="24"/>
              <w:lang w:val="en-GB"/>
            </w:rPr>
            <w:t>,</w:t>
          </w:r>
          <w:r w:rsidR="00632574">
            <w:rPr>
              <w:rFonts w:ascii="Calibri" w:eastAsiaTheme="majorEastAsia" w:hAnsi="Calibri" w:cstheme="majorBidi"/>
              <w:bCs/>
              <w:sz w:val="24"/>
              <w:szCs w:val="24"/>
              <w:lang w:val="en-GB"/>
            </w:rPr>
            <w:t xml:space="preserve"> as described above</w:t>
          </w:r>
          <w:r w:rsidR="0050764E" w:rsidRPr="000D4A19">
            <w:rPr>
              <w:rFonts w:ascii="Calibri" w:eastAsiaTheme="majorEastAsia" w:hAnsi="Calibri" w:cstheme="majorBidi"/>
              <w:bCs/>
              <w:sz w:val="24"/>
              <w:szCs w:val="24"/>
              <w:lang w:val="en-GB"/>
            </w:rPr>
            <w:t>).</w:t>
          </w:r>
          <w:r w:rsidR="00632574">
            <w:rPr>
              <w:rFonts w:ascii="Calibri" w:eastAsiaTheme="majorEastAsia" w:hAnsi="Calibri" w:cstheme="majorBidi"/>
              <w:bCs/>
              <w:sz w:val="24"/>
              <w:szCs w:val="24"/>
              <w:lang w:val="en-GB"/>
            </w:rPr>
            <w:t xml:space="preserve"> Before the end of 2019, all employers who have at least 50 employees are required to set up internal reporting channels, and have </w:t>
          </w:r>
          <w:r w:rsidR="008B212D">
            <w:rPr>
              <w:rFonts w:ascii="Calibri" w:eastAsiaTheme="majorEastAsia" w:hAnsi="Calibri" w:cstheme="majorBidi"/>
              <w:bCs/>
              <w:sz w:val="24"/>
              <w:szCs w:val="24"/>
              <w:lang w:val="en-GB"/>
            </w:rPr>
            <w:t xml:space="preserve">within three months thereafter </w:t>
          </w:r>
          <w:r w:rsidR="00632574">
            <w:rPr>
              <w:rFonts w:ascii="Calibri" w:eastAsiaTheme="majorEastAsia" w:hAnsi="Calibri" w:cstheme="majorBidi"/>
              <w:bCs/>
              <w:sz w:val="24"/>
              <w:szCs w:val="24"/>
              <w:lang w:val="en-GB"/>
            </w:rPr>
            <w:t>to appoint a “trusted person” for internal reporting of irregularities on the proposal of at least 20% of the employees</w:t>
          </w:r>
          <w:r w:rsidR="001D4E5E">
            <w:rPr>
              <w:rFonts w:ascii="Calibri" w:eastAsiaTheme="majorEastAsia" w:hAnsi="Calibri" w:cstheme="majorBidi"/>
              <w:bCs/>
              <w:sz w:val="24"/>
              <w:szCs w:val="24"/>
              <w:lang w:val="en-GB"/>
            </w:rPr>
            <w:t>, in accordance with the procedures foreseen in the Act</w:t>
          </w:r>
          <w:r w:rsidR="00632574">
            <w:rPr>
              <w:rFonts w:ascii="Calibri" w:eastAsiaTheme="majorEastAsia" w:hAnsi="Calibri" w:cstheme="majorBidi"/>
              <w:bCs/>
              <w:sz w:val="24"/>
              <w:szCs w:val="24"/>
              <w:lang w:val="en-GB"/>
            </w:rPr>
            <w:t xml:space="preserve">. </w:t>
          </w:r>
          <w:r w:rsidR="008B212D">
            <w:rPr>
              <w:rFonts w:ascii="Calibri" w:eastAsiaTheme="majorEastAsia" w:hAnsi="Calibri" w:cstheme="majorBidi"/>
              <w:bCs/>
              <w:sz w:val="24"/>
              <w:szCs w:val="24"/>
              <w:lang w:val="en-GB"/>
            </w:rPr>
            <w:t xml:space="preserve">In addition to internal reporting channels, the Act </w:t>
          </w:r>
          <w:r w:rsidR="001D4E5E">
            <w:rPr>
              <w:rFonts w:ascii="Calibri" w:eastAsiaTheme="majorEastAsia" w:hAnsi="Calibri" w:cstheme="majorBidi"/>
              <w:bCs/>
              <w:sz w:val="24"/>
              <w:szCs w:val="24"/>
              <w:lang w:val="en-GB"/>
            </w:rPr>
            <w:t xml:space="preserve">envisages </w:t>
          </w:r>
          <w:r w:rsidR="008B212D">
            <w:rPr>
              <w:rFonts w:ascii="Calibri" w:eastAsiaTheme="majorEastAsia" w:hAnsi="Calibri" w:cstheme="majorBidi"/>
              <w:bCs/>
              <w:sz w:val="24"/>
              <w:szCs w:val="24"/>
              <w:lang w:val="en-GB"/>
            </w:rPr>
            <w:t>the possibility of external rep</w:t>
          </w:r>
          <w:r w:rsidR="001D4E5E">
            <w:rPr>
              <w:rFonts w:ascii="Calibri" w:eastAsiaTheme="majorEastAsia" w:hAnsi="Calibri" w:cstheme="majorBidi"/>
              <w:bCs/>
              <w:sz w:val="24"/>
              <w:szCs w:val="24"/>
              <w:lang w:val="en-GB"/>
            </w:rPr>
            <w:t>orting (to the Ombudsperson) as well as</w:t>
          </w:r>
          <w:r w:rsidR="008B212D">
            <w:rPr>
              <w:rFonts w:ascii="Calibri" w:eastAsiaTheme="majorEastAsia" w:hAnsi="Calibri" w:cstheme="majorBidi"/>
              <w:bCs/>
              <w:sz w:val="24"/>
              <w:szCs w:val="24"/>
              <w:lang w:val="en-GB"/>
            </w:rPr>
            <w:t xml:space="preserve"> public disclosure. Whisteblowers are entitled to protection of their identity and confidentiality of their report, judicial protection and a possibility to claim compensation for any material and immaterial damages they have suffered. This protection can also be e</w:t>
          </w:r>
          <w:r w:rsidR="001D4E5E">
            <w:rPr>
              <w:rFonts w:ascii="Calibri" w:eastAsiaTheme="majorEastAsia" w:hAnsi="Calibri" w:cstheme="majorBidi"/>
              <w:bCs/>
              <w:sz w:val="24"/>
              <w:szCs w:val="24"/>
              <w:lang w:val="en-GB"/>
            </w:rPr>
            <w:t>xtended to persons associated with</w:t>
          </w:r>
          <w:r w:rsidR="008B212D">
            <w:rPr>
              <w:rFonts w:ascii="Calibri" w:eastAsiaTheme="majorEastAsia" w:hAnsi="Calibri" w:cstheme="majorBidi"/>
              <w:bCs/>
              <w:sz w:val="24"/>
              <w:szCs w:val="24"/>
              <w:lang w:val="en-GB"/>
            </w:rPr>
            <w:t xml:space="preserve"> </w:t>
          </w:r>
          <w:r w:rsidR="001D4E5E">
            <w:rPr>
              <w:rFonts w:ascii="Calibri" w:eastAsiaTheme="majorEastAsia" w:hAnsi="Calibri" w:cstheme="majorBidi"/>
              <w:bCs/>
              <w:sz w:val="24"/>
              <w:szCs w:val="24"/>
              <w:lang w:val="en-GB"/>
            </w:rPr>
            <w:t>a whistleblower</w:t>
          </w:r>
          <w:r w:rsidR="00B32090" w:rsidRPr="000D4A19">
            <w:rPr>
              <w:rFonts w:cstheme="minorHAnsi"/>
              <w:sz w:val="24"/>
              <w:szCs w:val="24"/>
              <w:lang w:val="en-GB"/>
            </w:rPr>
            <w:t xml:space="preserve">. </w:t>
          </w:r>
        </w:p>
        <w:p w14:paraId="2D78E333" w14:textId="77777777" w:rsidR="00041D3F" w:rsidRPr="000D4A19" w:rsidRDefault="00041D3F" w:rsidP="009A4318">
          <w:pPr>
            <w:spacing w:after="0" w:line="240" w:lineRule="auto"/>
            <w:jc w:val="both"/>
            <w:rPr>
              <w:rFonts w:cstheme="minorHAnsi"/>
              <w:b/>
              <w:sz w:val="24"/>
              <w:szCs w:val="24"/>
              <w:lang w:val="en-GB"/>
            </w:rPr>
          </w:pPr>
        </w:p>
        <w:p w14:paraId="72DFA7C4" w14:textId="5EC4DE07" w:rsidR="00CB78E1" w:rsidRPr="002B24B1" w:rsidRDefault="001D4E5E" w:rsidP="004B7CAB">
          <w:pPr>
            <w:numPr>
              <w:ilvl w:val="0"/>
              <w:numId w:val="1"/>
            </w:numPr>
            <w:tabs>
              <w:tab w:val="num" w:pos="720"/>
            </w:tabs>
            <w:spacing w:after="0" w:line="240" w:lineRule="auto"/>
            <w:ind w:left="0" w:firstLine="0"/>
            <w:jc w:val="both"/>
            <w:rPr>
              <w:rFonts w:cstheme="minorHAnsi"/>
              <w:sz w:val="24"/>
              <w:szCs w:val="24"/>
              <w:lang w:val="en-GB"/>
            </w:rPr>
          </w:pPr>
          <w:r w:rsidRPr="00041D3F">
            <w:rPr>
              <w:rFonts w:ascii="Calibri" w:eastAsiaTheme="majorEastAsia" w:hAnsi="Calibri" w:cstheme="majorBidi"/>
              <w:bCs/>
              <w:sz w:val="24"/>
              <w:szCs w:val="24"/>
              <w:lang w:val="en-GB"/>
            </w:rPr>
            <w:t xml:space="preserve">While it seems that the preparation of the Whistleblowers Act was not without criticism, the GET </w:t>
          </w:r>
          <w:r w:rsidR="00041D3F" w:rsidRPr="00041D3F">
            <w:rPr>
              <w:rFonts w:ascii="Calibri" w:eastAsiaTheme="majorEastAsia" w:hAnsi="Calibri" w:cstheme="majorBidi"/>
              <w:bCs/>
              <w:sz w:val="24"/>
              <w:szCs w:val="24"/>
              <w:lang w:val="en-GB"/>
            </w:rPr>
            <w:t>appreciat</w:t>
          </w:r>
          <w:r w:rsidRPr="00041D3F">
            <w:rPr>
              <w:rFonts w:ascii="Calibri" w:eastAsiaTheme="majorEastAsia" w:hAnsi="Calibri" w:cstheme="majorBidi"/>
              <w:bCs/>
              <w:sz w:val="24"/>
              <w:szCs w:val="24"/>
              <w:lang w:val="en-GB"/>
            </w:rPr>
            <w:t xml:space="preserve">es what seems to have been a thorough preparation </w:t>
          </w:r>
          <w:r w:rsidR="00991B1D" w:rsidRPr="00041D3F">
            <w:rPr>
              <w:rFonts w:ascii="Calibri" w:eastAsiaTheme="majorEastAsia" w:hAnsi="Calibri" w:cstheme="majorBidi"/>
              <w:bCs/>
              <w:sz w:val="24"/>
              <w:szCs w:val="24"/>
              <w:lang w:val="en-GB"/>
            </w:rPr>
            <w:t xml:space="preserve">of the new law, which has taken both </w:t>
          </w:r>
          <w:hyperlink r:id="rId26" w:history="1">
            <w:r w:rsidR="00041D3F" w:rsidRPr="00041D3F">
              <w:rPr>
                <w:rStyle w:val="Hiperveza"/>
                <w:rFonts w:eastAsia="Times New Roman"/>
                <w:sz w:val="24"/>
                <w:szCs w:val="24"/>
                <w:lang w:val="en-GB"/>
              </w:rPr>
              <w:t>Recommendation CM/Rec(2014)7</w:t>
            </w:r>
          </w:hyperlink>
          <w:r w:rsidR="00041D3F" w:rsidRPr="00041D3F">
            <w:rPr>
              <w:rFonts w:eastAsia="Times New Roman"/>
              <w:sz w:val="24"/>
              <w:szCs w:val="24"/>
              <w:lang w:val="en-GB"/>
            </w:rPr>
            <w:t xml:space="preserve"> of the Committee of Ministers of the Council of Europe on the protection of whistleblowers and the obligations of the new EU Directive (which was </w:t>
          </w:r>
          <w:r w:rsidR="00875115">
            <w:rPr>
              <w:rFonts w:eastAsia="Times New Roman"/>
              <w:sz w:val="24"/>
              <w:szCs w:val="24"/>
              <w:lang w:val="en-GB"/>
            </w:rPr>
            <w:t xml:space="preserve">then still to be </w:t>
          </w:r>
          <w:r w:rsidR="00041D3F" w:rsidRPr="00041D3F">
            <w:rPr>
              <w:rFonts w:eastAsia="Times New Roman"/>
              <w:sz w:val="24"/>
              <w:szCs w:val="24"/>
              <w:lang w:val="en-GB"/>
            </w:rPr>
            <w:t xml:space="preserve">adopted) </w:t>
          </w:r>
          <w:r w:rsidR="009A4318">
            <w:rPr>
              <w:rFonts w:eastAsia="Times New Roman"/>
              <w:sz w:val="24"/>
              <w:szCs w:val="24"/>
              <w:lang w:val="en-GB"/>
            </w:rPr>
            <w:t xml:space="preserve">into account. </w:t>
          </w:r>
          <w:r w:rsidR="00041D3F" w:rsidRPr="00041D3F">
            <w:rPr>
              <w:rFonts w:eastAsia="Times New Roman"/>
              <w:sz w:val="24"/>
              <w:szCs w:val="24"/>
              <w:lang w:val="en-GB"/>
            </w:rPr>
            <w:t xml:space="preserve">It particularly welcomes </w:t>
          </w:r>
          <w:r w:rsidR="0059173B">
            <w:rPr>
              <w:rFonts w:eastAsia="Times New Roman"/>
              <w:sz w:val="24"/>
              <w:szCs w:val="24"/>
              <w:lang w:val="en-GB"/>
            </w:rPr>
            <w:t>various strong features of the law, such as</w:t>
          </w:r>
          <w:r w:rsidR="00C40877">
            <w:rPr>
              <w:rFonts w:eastAsia="Times New Roman"/>
              <w:sz w:val="24"/>
              <w:szCs w:val="24"/>
              <w:lang w:val="en-GB"/>
            </w:rPr>
            <w:t xml:space="preserve"> the fact that “irregularities” include all breaches of the law, the detailed internal reporting provisions, the full reversal of the burden of proof in judicial proceedings, </w:t>
          </w:r>
          <w:r w:rsidR="00C40877" w:rsidRPr="00C40877">
            <w:rPr>
              <w:rFonts w:eastAsia="Times New Roman"/>
              <w:sz w:val="24"/>
              <w:szCs w:val="24"/>
              <w:lang w:val="en-GB"/>
            </w:rPr>
            <w:t>possi</w:t>
          </w:r>
          <w:r w:rsidR="00C40877">
            <w:rPr>
              <w:rFonts w:eastAsia="Times New Roman"/>
              <w:sz w:val="24"/>
              <w:szCs w:val="24"/>
              <w:lang w:val="en-GB"/>
            </w:rPr>
            <w:t>bilities of public disclosure in certain circumstances</w:t>
          </w:r>
          <w:r w:rsidR="0059173B">
            <w:rPr>
              <w:rFonts w:eastAsia="Times New Roman"/>
              <w:sz w:val="24"/>
              <w:szCs w:val="24"/>
              <w:lang w:val="en-GB"/>
            </w:rPr>
            <w:t xml:space="preserve"> and the designation of </w:t>
          </w:r>
          <w:r w:rsidR="00041D3F" w:rsidRPr="00041D3F">
            <w:rPr>
              <w:rFonts w:eastAsia="Times New Roman"/>
              <w:sz w:val="24"/>
              <w:szCs w:val="24"/>
              <w:lang w:val="en-GB"/>
            </w:rPr>
            <w:t>the Ombudsperson’s insti</w:t>
          </w:r>
          <w:r w:rsidR="000D61A5">
            <w:rPr>
              <w:rFonts w:eastAsia="Times New Roman"/>
              <w:sz w:val="24"/>
              <w:szCs w:val="24"/>
              <w:lang w:val="en-GB"/>
            </w:rPr>
            <w:t>tution as the external reporting channel</w:t>
          </w:r>
          <w:r w:rsidR="0059173B">
            <w:rPr>
              <w:rFonts w:eastAsia="Times New Roman"/>
              <w:sz w:val="24"/>
              <w:szCs w:val="24"/>
              <w:lang w:val="en-GB"/>
            </w:rPr>
            <w:t xml:space="preserve">. </w:t>
          </w:r>
          <w:r w:rsidR="002466F0">
            <w:rPr>
              <w:rFonts w:eastAsia="Times New Roman"/>
              <w:sz w:val="24"/>
              <w:szCs w:val="24"/>
              <w:lang w:val="en-GB"/>
            </w:rPr>
            <w:t>Once the reporting and protection mechanisms have been used, t</w:t>
          </w:r>
          <w:r w:rsidR="00B96CD5">
            <w:rPr>
              <w:rFonts w:eastAsia="Times New Roman"/>
              <w:sz w:val="24"/>
              <w:szCs w:val="24"/>
              <w:lang w:val="en-GB"/>
            </w:rPr>
            <w:t>he GET encourages the authorities</w:t>
          </w:r>
          <w:r w:rsidR="00E2262E">
            <w:rPr>
              <w:rFonts w:eastAsia="Times New Roman"/>
              <w:sz w:val="24"/>
              <w:szCs w:val="24"/>
              <w:lang w:val="en-GB"/>
            </w:rPr>
            <w:t xml:space="preserve"> to </w:t>
          </w:r>
          <w:r w:rsidR="002466F0">
            <w:rPr>
              <w:rFonts w:eastAsia="Times New Roman"/>
              <w:sz w:val="24"/>
              <w:szCs w:val="24"/>
              <w:lang w:val="en-GB"/>
            </w:rPr>
            <w:t xml:space="preserve">assess the effectiveness of the law, as stated in Recommendation CM/Rec(2014)7, to determine if there are any aspects which should be improved. In this connection, it would also be useful if </w:t>
          </w:r>
          <w:r w:rsidR="001071EF" w:rsidRPr="002466F0">
            <w:rPr>
              <w:rFonts w:cstheme="minorHAnsi"/>
              <w:sz w:val="24"/>
              <w:szCs w:val="24"/>
              <w:lang w:val="en-GB"/>
            </w:rPr>
            <w:t xml:space="preserve">the authorities keep the need for </w:t>
          </w:r>
          <w:bookmarkStart w:id="246" w:name="_Hlk22745868"/>
          <w:r w:rsidR="00D602A6" w:rsidRPr="002466F0">
            <w:rPr>
              <w:rFonts w:ascii="Calibri" w:eastAsiaTheme="majorEastAsia" w:hAnsi="Calibri" w:cstheme="majorBidi"/>
              <w:bCs/>
              <w:sz w:val="24"/>
              <w:szCs w:val="24"/>
              <w:lang w:val="en-GB"/>
            </w:rPr>
            <w:t>additional resourc</w:t>
          </w:r>
          <w:r w:rsidR="002E1605" w:rsidRPr="002466F0">
            <w:rPr>
              <w:rFonts w:ascii="Calibri" w:eastAsiaTheme="majorEastAsia" w:hAnsi="Calibri" w:cstheme="majorBidi"/>
              <w:bCs/>
              <w:sz w:val="24"/>
              <w:szCs w:val="24"/>
              <w:lang w:val="en-GB"/>
            </w:rPr>
            <w:t xml:space="preserve">es </w:t>
          </w:r>
          <w:r w:rsidR="001071EF" w:rsidRPr="002466F0">
            <w:rPr>
              <w:rFonts w:ascii="Calibri" w:eastAsiaTheme="majorEastAsia" w:hAnsi="Calibri" w:cstheme="majorBidi"/>
              <w:bCs/>
              <w:sz w:val="24"/>
              <w:szCs w:val="24"/>
              <w:lang w:val="en-GB"/>
            </w:rPr>
            <w:t xml:space="preserve">of </w:t>
          </w:r>
          <w:r w:rsidR="002E1605" w:rsidRPr="002466F0">
            <w:rPr>
              <w:rFonts w:ascii="Calibri" w:eastAsiaTheme="majorEastAsia" w:hAnsi="Calibri" w:cstheme="majorBidi"/>
              <w:bCs/>
              <w:sz w:val="24"/>
              <w:szCs w:val="24"/>
              <w:lang w:val="en-GB"/>
            </w:rPr>
            <w:t xml:space="preserve">the Ombudsperson to carry out the additional tasks assigned </w:t>
          </w:r>
          <w:r w:rsidR="0041447D" w:rsidRPr="002466F0">
            <w:rPr>
              <w:rFonts w:ascii="Calibri" w:eastAsiaTheme="majorEastAsia" w:hAnsi="Calibri" w:cstheme="majorBidi"/>
              <w:bCs/>
              <w:sz w:val="24"/>
              <w:szCs w:val="24"/>
              <w:lang w:val="en-GB"/>
            </w:rPr>
            <w:t>to this institution under the Whistleblowers Act</w:t>
          </w:r>
          <w:r w:rsidR="001071EF" w:rsidRPr="002466F0">
            <w:rPr>
              <w:rFonts w:ascii="Calibri" w:eastAsiaTheme="majorEastAsia" w:hAnsi="Calibri" w:cstheme="majorBidi"/>
              <w:bCs/>
              <w:sz w:val="24"/>
              <w:szCs w:val="24"/>
              <w:lang w:val="en-GB"/>
            </w:rPr>
            <w:t xml:space="preserve"> </w:t>
          </w:r>
          <w:r w:rsidR="0059173B" w:rsidRPr="002466F0">
            <w:rPr>
              <w:rFonts w:ascii="Calibri" w:eastAsiaTheme="majorEastAsia" w:hAnsi="Calibri" w:cstheme="majorBidi"/>
              <w:bCs/>
              <w:sz w:val="24"/>
              <w:szCs w:val="24"/>
              <w:lang w:val="en-GB"/>
            </w:rPr>
            <w:t xml:space="preserve">under close </w:t>
          </w:r>
          <w:r w:rsidR="001071EF" w:rsidRPr="002466F0">
            <w:rPr>
              <w:rFonts w:ascii="Calibri" w:eastAsiaTheme="majorEastAsia" w:hAnsi="Calibri" w:cstheme="majorBidi"/>
              <w:bCs/>
              <w:sz w:val="24"/>
              <w:szCs w:val="24"/>
              <w:lang w:val="en-GB"/>
            </w:rPr>
            <w:t>review</w:t>
          </w:r>
          <w:r w:rsidR="002466F0">
            <w:rPr>
              <w:rFonts w:ascii="Calibri" w:eastAsiaTheme="majorEastAsia" w:hAnsi="Calibri" w:cstheme="majorBidi"/>
              <w:bCs/>
              <w:sz w:val="24"/>
              <w:szCs w:val="24"/>
              <w:lang w:val="en-GB"/>
            </w:rPr>
            <w:t xml:space="preserve">, </w:t>
          </w:r>
          <w:r w:rsidR="002466F0" w:rsidRPr="002466F0">
            <w:rPr>
              <w:rFonts w:cstheme="minorHAnsi"/>
              <w:sz w:val="24"/>
              <w:szCs w:val="24"/>
              <w:lang w:val="en-GB"/>
            </w:rPr>
            <w:t>given that the effective enforcement of the Whisteblowers Act could be to the detriment of other activities of this institution</w:t>
          </w:r>
          <w:r w:rsidR="00A27738" w:rsidRPr="002466F0">
            <w:rPr>
              <w:rFonts w:ascii="Calibri" w:eastAsiaTheme="majorEastAsia" w:hAnsi="Calibri" w:cstheme="majorBidi"/>
              <w:b/>
              <w:bCs/>
              <w:sz w:val="24"/>
              <w:szCs w:val="24"/>
              <w:lang w:val="en-GB"/>
            </w:rPr>
            <w:t>.</w:t>
          </w:r>
        </w:p>
        <w:p w14:paraId="3C395E65" w14:textId="77777777" w:rsidR="00CB78E1" w:rsidRPr="000D4A19" w:rsidRDefault="00CB78E1" w:rsidP="004B7CAB">
          <w:pPr>
            <w:spacing w:after="0" w:line="240" w:lineRule="auto"/>
            <w:jc w:val="both"/>
            <w:rPr>
              <w:rFonts w:cstheme="minorHAnsi"/>
              <w:sz w:val="24"/>
              <w:szCs w:val="24"/>
              <w:lang w:val="en-GB"/>
            </w:rPr>
          </w:pPr>
        </w:p>
        <w:p w14:paraId="716AAD58" w14:textId="77777777" w:rsidR="009919AC" w:rsidRPr="000D4A19" w:rsidRDefault="009919AC" w:rsidP="004B7CAB">
          <w:pPr>
            <w:pStyle w:val="Naslov2"/>
            <w:keepNext w:val="0"/>
            <w:keepLines w:val="0"/>
            <w:tabs>
              <w:tab w:val="left" w:pos="709"/>
            </w:tabs>
            <w:spacing w:before="0" w:line="240" w:lineRule="auto"/>
            <w:jc w:val="both"/>
            <w:rPr>
              <w:rFonts w:asciiTheme="minorHAnsi" w:hAnsiTheme="minorHAnsi"/>
              <w:color w:val="auto"/>
              <w:sz w:val="24"/>
              <w:szCs w:val="24"/>
              <w:u w:val="single"/>
              <w:lang w:val="en-GB"/>
            </w:rPr>
          </w:pPr>
          <w:bookmarkStart w:id="247" w:name="_Toc4762903"/>
          <w:bookmarkStart w:id="248" w:name="_Toc25229349"/>
          <w:bookmarkEnd w:id="246"/>
          <w:r w:rsidRPr="000D4A19">
            <w:rPr>
              <w:rFonts w:asciiTheme="minorHAnsi" w:hAnsiTheme="minorHAnsi"/>
              <w:color w:val="auto"/>
              <w:sz w:val="24"/>
              <w:szCs w:val="24"/>
              <w:u w:val="single"/>
              <w:lang w:val="en-GB"/>
            </w:rPr>
            <w:t>Enforcement procedure and sanctions</w:t>
          </w:r>
          <w:bookmarkEnd w:id="247"/>
          <w:bookmarkEnd w:id="248"/>
        </w:p>
        <w:p w14:paraId="248907AD" w14:textId="77777777" w:rsidR="009919AC" w:rsidRPr="000D4A19" w:rsidRDefault="009919AC" w:rsidP="004B7CAB">
          <w:pPr>
            <w:spacing w:after="0" w:line="240" w:lineRule="auto"/>
            <w:jc w:val="both"/>
            <w:rPr>
              <w:rFonts w:cstheme="minorHAnsi"/>
              <w:sz w:val="24"/>
              <w:szCs w:val="24"/>
              <w:lang w:val="en-GB"/>
            </w:rPr>
          </w:pPr>
        </w:p>
        <w:p w14:paraId="37F83152"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249" w:name="_Toc4762904"/>
          <w:bookmarkStart w:id="250" w:name="_Toc25229350"/>
          <w:bookmarkStart w:id="251" w:name="_Toc484088369"/>
          <w:r w:rsidRPr="000D4A19">
            <w:rPr>
              <w:rFonts w:asciiTheme="minorHAnsi" w:hAnsiTheme="minorHAnsi"/>
              <w:b w:val="0"/>
              <w:i/>
              <w:color w:val="auto"/>
              <w:sz w:val="24"/>
              <w:szCs w:val="24"/>
              <w:lang w:val="en-GB"/>
            </w:rPr>
            <w:t>Disciplinary and other administrative proceedings</w:t>
          </w:r>
          <w:bookmarkEnd w:id="249"/>
          <w:bookmarkEnd w:id="250"/>
        </w:p>
        <w:p w14:paraId="4788D67A" w14:textId="77777777" w:rsidR="009919AC" w:rsidRPr="000D4A19" w:rsidRDefault="009919AC" w:rsidP="004B7CAB">
          <w:pPr>
            <w:spacing w:after="0" w:line="240" w:lineRule="auto"/>
            <w:jc w:val="both"/>
            <w:rPr>
              <w:rFonts w:cstheme="minorHAnsi"/>
              <w:color w:val="FF0000"/>
              <w:sz w:val="24"/>
              <w:szCs w:val="24"/>
              <w:lang w:val="en-GB"/>
            </w:rPr>
          </w:pPr>
        </w:p>
        <w:p w14:paraId="6798EF4B" w14:textId="259483A2"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ascii="Calibri" w:eastAsiaTheme="majorEastAsia" w:hAnsi="Calibri" w:cstheme="majorBidi"/>
              <w:bCs/>
              <w:sz w:val="24"/>
              <w:szCs w:val="24"/>
              <w:lang w:val="en-GB"/>
            </w:rPr>
          </w:pPr>
          <w:r w:rsidRPr="000D4A19">
            <w:rPr>
              <w:rFonts w:ascii="Calibri" w:eastAsiaTheme="majorEastAsia" w:hAnsi="Calibri" w:cstheme="majorBidi"/>
              <w:bCs/>
              <w:sz w:val="24"/>
              <w:szCs w:val="24"/>
              <w:lang w:val="en-GB"/>
            </w:rPr>
            <w:t xml:space="preserve">The Police Act distinguishes between two types of </w:t>
          </w:r>
          <w:r w:rsidRPr="000D4A19">
            <w:rPr>
              <w:rFonts w:ascii="Calibri" w:eastAsiaTheme="majorEastAsia" w:hAnsi="Calibri" w:cstheme="majorBidi"/>
              <w:bCs/>
              <w:sz w:val="24"/>
              <w:szCs w:val="24"/>
              <w:u w:val="single"/>
              <w:lang w:val="en-GB"/>
            </w:rPr>
            <w:t>disciplinary offences</w:t>
          </w:r>
          <w:r w:rsidRPr="000D4A19">
            <w:rPr>
              <w:rFonts w:ascii="Calibri" w:eastAsiaTheme="majorEastAsia" w:hAnsi="Calibri" w:cstheme="majorBidi"/>
              <w:bCs/>
              <w:sz w:val="24"/>
              <w:szCs w:val="24"/>
              <w:lang w:val="en-GB"/>
            </w:rPr>
            <w:t>: minor and serious breaches of duty. Minor breaches carry sanctions in the form of a written caution or a fine in an amount of up to 10% of the last salary (for a full month</w:t>
          </w:r>
          <w:r w:rsidR="004D2ACA" w:rsidRPr="000D4A19">
            <w:rPr>
              <w:rFonts w:ascii="Calibri" w:eastAsiaTheme="majorEastAsia" w:hAnsi="Calibri" w:cstheme="majorBidi"/>
              <w:bCs/>
              <w:sz w:val="24"/>
              <w:szCs w:val="24"/>
              <w:lang w:val="en-GB"/>
            </w:rPr>
            <w:t>’s</w:t>
          </w:r>
          <w:r w:rsidRPr="000D4A19">
            <w:rPr>
              <w:rFonts w:ascii="Calibri" w:eastAsiaTheme="majorEastAsia" w:hAnsi="Calibri" w:cstheme="majorBidi"/>
              <w:bCs/>
              <w:sz w:val="24"/>
              <w:szCs w:val="24"/>
              <w:lang w:val="en-GB"/>
            </w:rPr>
            <w:t xml:space="preserve"> work) (Article 95 of the Police Act).</w:t>
          </w:r>
          <w:r w:rsidRPr="000D4A19">
            <w:rPr>
              <w:rStyle w:val="Referencafusnote"/>
              <w:rFonts w:ascii="Calibri" w:eastAsiaTheme="majorEastAsia" w:hAnsi="Calibri" w:cstheme="majorBidi"/>
              <w:bCs/>
              <w:sz w:val="24"/>
              <w:szCs w:val="24"/>
              <w:lang w:val="en-GB"/>
            </w:rPr>
            <w:footnoteReference w:id="70"/>
          </w:r>
          <w:r w:rsidRPr="000D4A19">
            <w:rPr>
              <w:rFonts w:ascii="Calibri" w:eastAsiaTheme="majorEastAsia" w:hAnsi="Calibri" w:cstheme="majorBidi"/>
              <w:bCs/>
              <w:sz w:val="24"/>
              <w:szCs w:val="24"/>
              <w:lang w:val="en-GB"/>
            </w:rPr>
            <w:t xml:space="preserve"> </w:t>
          </w:r>
          <w:r w:rsidR="00751FA4" w:rsidRPr="000D4A19">
            <w:rPr>
              <w:rFonts w:ascii="Calibri" w:eastAsiaTheme="majorEastAsia" w:hAnsi="Calibri" w:cstheme="majorBidi"/>
              <w:bCs/>
              <w:sz w:val="24"/>
              <w:szCs w:val="24"/>
              <w:lang w:val="en-GB"/>
            </w:rPr>
            <w:t>The GET was told that integrity issues would usually be regarded as a serious breach of duty.</w:t>
          </w:r>
          <w:r w:rsidR="00A40CF8" w:rsidRPr="000D4A19">
            <w:rPr>
              <w:rStyle w:val="Referencafusnote"/>
              <w:rFonts w:cstheme="minorHAnsi"/>
              <w:sz w:val="24"/>
              <w:szCs w:val="24"/>
              <w:lang w:val="en-GB"/>
            </w:rPr>
            <w:footnoteReference w:id="71"/>
          </w:r>
          <w:r w:rsidR="00751FA4" w:rsidRPr="000D4A19">
            <w:rPr>
              <w:rFonts w:ascii="Calibri" w:eastAsiaTheme="majorEastAsia" w:hAnsi="Calibri" w:cstheme="majorBidi"/>
              <w:bCs/>
              <w:sz w:val="24"/>
              <w:szCs w:val="24"/>
              <w:lang w:val="en-GB"/>
            </w:rPr>
            <w:t xml:space="preserve"> </w:t>
          </w:r>
          <w:r w:rsidRPr="000D4A19">
            <w:rPr>
              <w:rFonts w:cstheme="minorHAnsi"/>
              <w:sz w:val="24"/>
              <w:szCs w:val="24"/>
              <w:lang w:val="en-GB"/>
            </w:rPr>
            <w:t>For serious breaches of duty (Article 96 of the Police Act) the following sanctions can be imposed: a fine in an amount of up to 20% of the last salary (for a full month</w:t>
          </w:r>
          <w:r w:rsidR="004D2ACA" w:rsidRPr="000D4A19">
            <w:rPr>
              <w:rFonts w:cstheme="minorHAnsi"/>
              <w:sz w:val="24"/>
              <w:szCs w:val="24"/>
              <w:lang w:val="en-GB"/>
            </w:rPr>
            <w:t>’s</w:t>
          </w:r>
          <w:r w:rsidRPr="000D4A19">
            <w:rPr>
              <w:rFonts w:cstheme="minorHAnsi"/>
              <w:sz w:val="24"/>
              <w:szCs w:val="24"/>
              <w:lang w:val="en-GB"/>
            </w:rPr>
            <w:t xml:space="preserve"> work) for a period from one to six months, freezing of a promotion in rank or service for a period of two to four years, transfer to another job for a period of two to four years, conditional dismissal from service or dismissal of service. The latter sanction is mandatory for serious breach</w:t>
          </w:r>
          <w:r w:rsidR="00A40CF8" w:rsidRPr="000D4A19">
            <w:rPr>
              <w:rFonts w:cstheme="minorHAnsi"/>
              <w:sz w:val="24"/>
              <w:szCs w:val="24"/>
              <w:lang w:val="en-GB"/>
            </w:rPr>
            <w:t xml:space="preserve">es of duty with </w:t>
          </w:r>
          <w:r w:rsidRPr="000D4A19">
            <w:rPr>
              <w:rFonts w:cstheme="minorHAnsi"/>
              <w:sz w:val="24"/>
              <w:szCs w:val="24"/>
              <w:lang w:val="en-GB"/>
            </w:rPr>
            <w:t xml:space="preserve">the characteristics of corruption. </w:t>
          </w:r>
        </w:p>
        <w:p w14:paraId="7120FC71" w14:textId="77777777" w:rsidR="009919AC" w:rsidRPr="000D4A19" w:rsidRDefault="009919AC" w:rsidP="004B7CAB">
          <w:pPr>
            <w:spacing w:after="0" w:line="240" w:lineRule="auto"/>
            <w:jc w:val="both"/>
            <w:rPr>
              <w:rFonts w:ascii="Calibri" w:eastAsiaTheme="majorEastAsia" w:hAnsi="Calibri" w:cstheme="majorBidi"/>
              <w:bCs/>
              <w:sz w:val="24"/>
              <w:szCs w:val="24"/>
              <w:lang w:val="en-GB"/>
            </w:rPr>
          </w:pPr>
        </w:p>
        <w:p w14:paraId="5655CCEC" w14:textId="28DE6F1D" w:rsidR="009D3F23" w:rsidRDefault="00394ECE" w:rsidP="004B7CAB">
          <w:pPr>
            <w:numPr>
              <w:ilvl w:val="0"/>
              <w:numId w:val="1"/>
            </w:numPr>
            <w:tabs>
              <w:tab w:val="left" w:pos="709"/>
              <w:tab w:val="num" w:pos="1557"/>
              <w:tab w:val="num" w:pos="8222"/>
            </w:tabs>
            <w:spacing w:after="0" w:line="240" w:lineRule="auto"/>
            <w:ind w:left="0" w:firstLine="0"/>
            <w:jc w:val="both"/>
            <w:rPr>
              <w:rFonts w:ascii="Calibri" w:eastAsiaTheme="majorEastAsia" w:hAnsi="Calibri" w:cstheme="majorBidi"/>
              <w:bCs/>
              <w:sz w:val="24"/>
              <w:szCs w:val="24"/>
              <w:lang w:val="en-GB"/>
            </w:rPr>
          </w:pPr>
          <w:r w:rsidRPr="000D4A19">
            <w:rPr>
              <w:rFonts w:ascii="Calibri" w:eastAsiaTheme="majorEastAsia" w:hAnsi="Calibri" w:cstheme="majorBidi"/>
              <w:bCs/>
              <w:sz w:val="24"/>
              <w:szCs w:val="24"/>
              <w:lang w:val="en-GB"/>
            </w:rPr>
            <w:t xml:space="preserve">The </w:t>
          </w:r>
          <w:r w:rsidR="00751FA4" w:rsidRPr="000D4A19">
            <w:rPr>
              <w:rFonts w:ascii="Calibri" w:eastAsiaTheme="majorEastAsia" w:hAnsi="Calibri" w:cstheme="majorBidi"/>
              <w:bCs/>
              <w:sz w:val="24"/>
              <w:szCs w:val="24"/>
              <w:lang w:val="en-GB"/>
            </w:rPr>
            <w:t xml:space="preserve">GET was told that most disciplinary proceedings stem from complaints. </w:t>
          </w:r>
          <w:r w:rsidR="009919AC" w:rsidRPr="000D4A19">
            <w:rPr>
              <w:rFonts w:ascii="Calibri" w:eastAsiaTheme="majorEastAsia" w:hAnsi="Calibri" w:cstheme="majorBidi"/>
              <w:bCs/>
              <w:sz w:val="24"/>
              <w:szCs w:val="24"/>
              <w:lang w:val="en-GB"/>
            </w:rPr>
            <w:t>Disciplinary investigations are conducted by the Minister’s Office, the Internal Control D</w:t>
          </w:r>
          <w:r w:rsidR="00B02586" w:rsidRPr="000D4A19">
            <w:rPr>
              <w:rFonts w:ascii="Calibri" w:eastAsiaTheme="majorEastAsia" w:hAnsi="Calibri" w:cstheme="majorBidi"/>
              <w:bCs/>
              <w:sz w:val="24"/>
              <w:szCs w:val="24"/>
              <w:lang w:val="en-GB"/>
            </w:rPr>
            <w:t>ivision</w:t>
          </w:r>
          <w:r w:rsidR="009919AC" w:rsidRPr="000D4A19">
            <w:rPr>
              <w:rFonts w:ascii="Calibri" w:eastAsiaTheme="majorEastAsia" w:hAnsi="Calibri" w:cstheme="majorBidi"/>
              <w:bCs/>
              <w:sz w:val="24"/>
              <w:szCs w:val="24"/>
              <w:lang w:val="en-GB"/>
            </w:rPr>
            <w:t xml:space="preserve"> or police officers “in charge of lawful conduct” in the police administrations</w:t>
          </w:r>
          <w:r w:rsidR="003915B0" w:rsidRPr="000D4A19">
            <w:rPr>
              <w:rFonts w:ascii="Calibri" w:eastAsiaTheme="majorEastAsia" w:hAnsi="Calibri" w:cstheme="majorBidi"/>
              <w:bCs/>
              <w:sz w:val="24"/>
              <w:szCs w:val="24"/>
              <w:lang w:val="en-GB"/>
            </w:rPr>
            <w:t>, in accordance with the Ordinance on disciplinary responsibility of police officers</w:t>
          </w:r>
          <w:r w:rsidR="009919AC" w:rsidRPr="000D4A19">
            <w:rPr>
              <w:rFonts w:ascii="Calibri" w:eastAsiaTheme="majorEastAsia" w:hAnsi="Calibri" w:cstheme="majorBidi"/>
              <w:bCs/>
              <w:sz w:val="24"/>
              <w:szCs w:val="24"/>
              <w:lang w:val="en-GB"/>
            </w:rPr>
            <w:t xml:space="preserve">. </w:t>
          </w:r>
          <w:r w:rsidR="003915B0" w:rsidRPr="000D4A19">
            <w:rPr>
              <w:rFonts w:ascii="Calibri" w:eastAsiaTheme="majorEastAsia" w:hAnsi="Calibri" w:cstheme="majorBidi"/>
              <w:bCs/>
              <w:sz w:val="24"/>
              <w:szCs w:val="24"/>
              <w:lang w:val="en-GB"/>
            </w:rPr>
            <w:t xml:space="preserve">Police officers suspected of a serious breach of duties have an opportunity to provide a written and signed statement before the case is referred to a Disciplinary Tribunal.  </w:t>
          </w:r>
        </w:p>
        <w:p w14:paraId="2D695B9D" w14:textId="77777777" w:rsidR="009D3F23" w:rsidRDefault="009D3F23" w:rsidP="00CC7AD8">
          <w:pPr>
            <w:tabs>
              <w:tab w:val="left" w:pos="709"/>
              <w:tab w:val="num" w:pos="8222"/>
            </w:tabs>
            <w:spacing w:after="0" w:line="240" w:lineRule="auto"/>
            <w:jc w:val="both"/>
            <w:rPr>
              <w:rFonts w:ascii="Calibri" w:eastAsiaTheme="majorEastAsia" w:hAnsi="Calibri" w:cstheme="majorBidi"/>
              <w:bCs/>
              <w:sz w:val="24"/>
              <w:szCs w:val="24"/>
              <w:u w:val="single"/>
              <w:lang w:val="en-GB"/>
            </w:rPr>
          </w:pPr>
        </w:p>
        <w:p w14:paraId="19815FFB" w14:textId="2178D8B1"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ascii="Calibri" w:eastAsiaTheme="majorEastAsia" w:hAnsi="Calibri" w:cstheme="majorBidi"/>
              <w:bCs/>
              <w:sz w:val="24"/>
              <w:szCs w:val="24"/>
              <w:lang w:val="en-GB"/>
            </w:rPr>
          </w:pPr>
          <w:r w:rsidRPr="000D4A19">
            <w:rPr>
              <w:rFonts w:ascii="Calibri" w:eastAsiaTheme="majorEastAsia" w:hAnsi="Calibri" w:cstheme="majorBidi"/>
              <w:bCs/>
              <w:sz w:val="24"/>
              <w:szCs w:val="24"/>
              <w:u w:val="single"/>
              <w:lang w:val="en-GB"/>
            </w:rPr>
            <w:t>Disciplinary proceedings</w:t>
          </w:r>
          <w:r w:rsidRPr="000D4A19">
            <w:rPr>
              <w:rFonts w:ascii="Calibri" w:eastAsiaTheme="majorEastAsia" w:hAnsi="Calibri" w:cstheme="majorBidi"/>
              <w:bCs/>
              <w:sz w:val="24"/>
              <w:szCs w:val="24"/>
              <w:lang w:val="en-GB"/>
            </w:rPr>
            <w:t xml:space="preserve"> </w:t>
          </w:r>
          <w:r w:rsidR="009D3F23">
            <w:rPr>
              <w:rFonts w:ascii="Calibri" w:eastAsiaTheme="majorEastAsia" w:hAnsi="Calibri" w:cstheme="majorBidi"/>
              <w:bCs/>
              <w:sz w:val="24"/>
              <w:szCs w:val="24"/>
              <w:lang w:val="en-GB"/>
            </w:rPr>
            <w:t xml:space="preserve">in cases of minor breaches of duty </w:t>
          </w:r>
          <w:r w:rsidRPr="000D4A19">
            <w:rPr>
              <w:rFonts w:ascii="Calibri" w:eastAsiaTheme="majorEastAsia" w:hAnsi="Calibri" w:cstheme="majorBidi"/>
              <w:bCs/>
              <w:sz w:val="24"/>
              <w:szCs w:val="24"/>
              <w:lang w:val="en-GB"/>
            </w:rPr>
            <w:t>are conduct</w:t>
          </w:r>
          <w:r w:rsidR="003915B0" w:rsidRPr="000D4A19">
            <w:rPr>
              <w:rFonts w:ascii="Calibri" w:eastAsiaTheme="majorEastAsia" w:hAnsi="Calibri" w:cstheme="majorBidi"/>
              <w:bCs/>
              <w:sz w:val="24"/>
              <w:szCs w:val="24"/>
              <w:lang w:val="en-GB"/>
            </w:rPr>
            <w:t xml:space="preserve">ed </w:t>
          </w:r>
          <w:r w:rsidR="009D3F23">
            <w:rPr>
              <w:rFonts w:ascii="Calibri" w:eastAsiaTheme="majorEastAsia" w:hAnsi="Calibri" w:cstheme="majorBidi"/>
              <w:bCs/>
              <w:sz w:val="24"/>
              <w:szCs w:val="24"/>
              <w:lang w:val="en-GB"/>
            </w:rPr>
            <w:t xml:space="preserve">by the minister or competent manager and in cases of serious breaches of duty </w:t>
          </w:r>
          <w:r w:rsidR="003915B0" w:rsidRPr="000D4A19">
            <w:rPr>
              <w:rFonts w:ascii="Calibri" w:eastAsiaTheme="majorEastAsia" w:hAnsi="Calibri" w:cstheme="majorBidi"/>
              <w:bCs/>
              <w:sz w:val="24"/>
              <w:szCs w:val="24"/>
              <w:lang w:val="en-GB"/>
            </w:rPr>
            <w:t>before the Disciplinary Tribunal</w:t>
          </w:r>
          <w:r w:rsidRPr="000D4A19">
            <w:rPr>
              <w:rFonts w:ascii="Calibri" w:eastAsiaTheme="majorEastAsia" w:hAnsi="Calibri" w:cstheme="majorBidi"/>
              <w:bCs/>
              <w:sz w:val="24"/>
              <w:szCs w:val="24"/>
              <w:lang w:val="en-GB"/>
            </w:rPr>
            <w:t xml:space="preserve"> of the Ministry of the Interior (for police officers) or the Civil Service Tribunal (for </w:t>
          </w:r>
          <w:r w:rsidR="0041447D" w:rsidRPr="000D4A19">
            <w:rPr>
              <w:rFonts w:ascii="Calibri" w:eastAsiaTheme="majorEastAsia" w:hAnsi="Calibri" w:cstheme="majorBidi"/>
              <w:bCs/>
              <w:sz w:val="24"/>
              <w:szCs w:val="24"/>
              <w:lang w:val="en-GB"/>
            </w:rPr>
            <w:t xml:space="preserve">other </w:t>
          </w:r>
          <w:r w:rsidRPr="000D4A19">
            <w:rPr>
              <w:rFonts w:ascii="Calibri" w:eastAsiaTheme="majorEastAsia" w:hAnsi="Calibri" w:cstheme="majorBidi"/>
              <w:bCs/>
              <w:sz w:val="24"/>
              <w:szCs w:val="24"/>
              <w:lang w:val="en-GB"/>
            </w:rPr>
            <w:t>civil servants)</w:t>
          </w:r>
          <w:r w:rsidR="001500BE">
            <w:rPr>
              <w:rFonts w:ascii="Calibri" w:eastAsiaTheme="majorEastAsia" w:hAnsi="Calibri" w:cstheme="majorBidi"/>
              <w:bCs/>
              <w:sz w:val="24"/>
              <w:szCs w:val="24"/>
              <w:lang w:val="en-GB"/>
            </w:rPr>
            <w:t xml:space="preserve"> (Articles 97-98, Police Act). In case of serious breaches of duty by a police officer, the proceedings always involve an oral hearing, where the police officer in question can present evidence</w:t>
          </w:r>
          <w:r w:rsidRPr="000D4A19">
            <w:rPr>
              <w:rFonts w:ascii="Calibri" w:eastAsiaTheme="majorEastAsia" w:hAnsi="Calibri" w:cstheme="majorBidi"/>
              <w:bCs/>
              <w:sz w:val="24"/>
              <w:szCs w:val="24"/>
              <w:lang w:val="en-GB"/>
            </w:rPr>
            <w:t>.</w:t>
          </w:r>
          <w:r w:rsidR="001500BE">
            <w:rPr>
              <w:rFonts w:ascii="Calibri" w:eastAsiaTheme="majorEastAsia" w:hAnsi="Calibri" w:cstheme="majorBidi"/>
              <w:bCs/>
              <w:sz w:val="24"/>
              <w:szCs w:val="24"/>
              <w:lang w:val="en-GB"/>
            </w:rPr>
            <w:t xml:space="preserve"> </w:t>
          </w:r>
          <w:r w:rsidR="0036112D">
            <w:rPr>
              <w:rFonts w:ascii="Calibri" w:eastAsiaTheme="majorEastAsia" w:hAnsi="Calibri" w:cstheme="majorBidi"/>
              <w:bCs/>
              <w:sz w:val="24"/>
              <w:szCs w:val="24"/>
              <w:lang w:val="en-GB"/>
            </w:rPr>
            <w:t>Police officers</w:t>
          </w:r>
          <w:r w:rsidR="00751FA4" w:rsidRPr="000D4A19">
            <w:rPr>
              <w:rFonts w:ascii="Calibri" w:eastAsiaTheme="majorEastAsia" w:hAnsi="Calibri" w:cstheme="majorBidi"/>
              <w:bCs/>
              <w:sz w:val="24"/>
              <w:szCs w:val="24"/>
              <w:lang w:val="en-GB"/>
            </w:rPr>
            <w:t xml:space="preserve"> can have legal representation and</w:t>
          </w:r>
          <w:r w:rsidR="001500BE">
            <w:rPr>
              <w:rFonts w:ascii="Calibri" w:eastAsiaTheme="majorEastAsia" w:hAnsi="Calibri" w:cstheme="majorBidi"/>
              <w:bCs/>
              <w:sz w:val="24"/>
              <w:szCs w:val="24"/>
              <w:lang w:val="en-GB"/>
            </w:rPr>
            <w:t>/or</w:t>
          </w:r>
          <w:r w:rsidR="00751FA4" w:rsidRPr="000D4A19">
            <w:rPr>
              <w:rFonts w:ascii="Calibri" w:eastAsiaTheme="majorEastAsia" w:hAnsi="Calibri" w:cstheme="majorBidi"/>
              <w:bCs/>
              <w:sz w:val="24"/>
              <w:szCs w:val="24"/>
              <w:lang w:val="en-GB"/>
            </w:rPr>
            <w:t xml:space="preserve"> can ask for assistance from their trade union in representing their case before the Disciplinary Tribunal. </w:t>
          </w:r>
          <w:r w:rsidR="0036112D">
            <w:rPr>
              <w:rFonts w:ascii="Calibri" w:eastAsiaTheme="majorEastAsia" w:hAnsi="Calibri" w:cstheme="majorBidi"/>
              <w:bCs/>
              <w:sz w:val="24"/>
              <w:szCs w:val="24"/>
              <w:lang w:val="en-GB"/>
            </w:rPr>
            <w:t>The Disciplinary Tribunal in first and second instance is composed of a panel of a president and two members, who are all employees of the Ministry of the Interior (and perform this function professionally). Appeals against can be lodged with the Disciplinary Tribunal (which is a second instance body in both the proceedings for minor breaches of duties and – in a different composition than in the first instance – for serious breaches of duties) within 15 days of a decision having been</w:t>
          </w:r>
          <w:r w:rsidR="00B22234">
            <w:rPr>
              <w:rFonts w:ascii="Calibri" w:eastAsiaTheme="majorEastAsia" w:hAnsi="Calibri" w:cstheme="majorBidi"/>
              <w:bCs/>
              <w:sz w:val="24"/>
              <w:szCs w:val="24"/>
              <w:lang w:val="en-GB"/>
            </w:rPr>
            <w:t xml:space="preserve"> taken. This can be followed by proceedings before an administrative court, in case the second instance decision is disputed.</w:t>
          </w:r>
        </w:p>
        <w:p w14:paraId="5E56CBF4" w14:textId="77777777" w:rsidR="009919AC" w:rsidRPr="000D4A19" w:rsidRDefault="009919AC" w:rsidP="004B7CAB">
          <w:pPr>
            <w:spacing w:after="0" w:line="240" w:lineRule="auto"/>
            <w:jc w:val="both"/>
            <w:rPr>
              <w:rFonts w:cstheme="minorHAnsi"/>
              <w:sz w:val="24"/>
              <w:szCs w:val="24"/>
              <w:lang w:val="en-GB"/>
            </w:rPr>
          </w:pPr>
        </w:p>
        <w:p w14:paraId="42DB2BA7" w14:textId="77777777" w:rsidR="009919AC" w:rsidRPr="000D4A19" w:rsidRDefault="009919AC" w:rsidP="004B7CAB">
          <w:pPr>
            <w:pStyle w:val="Naslov3"/>
            <w:keepNext w:val="0"/>
            <w:keepLines w:val="0"/>
            <w:tabs>
              <w:tab w:val="left" w:pos="709"/>
            </w:tabs>
            <w:spacing w:before="0" w:line="240" w:lineRule="auto"/>
            <w:jc w:val="both"/>
            <w:rPr>
              <w:rFonts w:asciiTheme="minorHAnsi" w:hAnsiTheme="minorHAnsi"/>
              <w:b w:val="0"/>
              <w:i/>
              <w:color w:val="auto"/>
              <w:sz w:val="24"/>
              <w:szCs w:val="24"/>
              <w:lang w:val="en-GB"/>
            </w:rPr>
          </w:pPr>
          <w:bookmarkStart w:id="252" w:name="_Toc4762905"/>
          <w:bookmarkStart w:id="253" w:name="_Toc25229351"/>
          <w:r w:rsidRPr="000D4A19">
            <w:rPr>
              <w:rFonts w:asciiTheme="minorHAnsi" w:hAnsiTheme="minorHAnsi"/>
              <w:b w:val="0"/>
              <w:i/>
              <w:color w:val="auto"/>
              <w:sz w:val="24"/>
              <w:szCs w:val="24"/>
              <w:lang w:val="en-GB"/>
            </w:rPr>
            <w:t>Criminal proceedings and immunities</w:t>
          </w:r>
          <w:bookmarkEnd w:id="252"/>
          <w:bookmarkEnd w:id="253"/>
        </w:p>
        <w:bookmarkEnd w:id="251"/>
        <w:p w14:paraId="6D26819A" w14:textId="77777777" w:rsidR="009919AC" w:rsidRPr="000D4A19" w:rsidRDefault="009919AC" w:rsidP="004B7CAB">
          <w:pPr>
            <w:spacing w:after="0" w:line="240" w:lineRule="auto"/>
            <w:jc w:val="both"/>
            <w:rPr>
              <w:rFonts w:cstheme="minorHAnsi"/>
              <w:sz w:val="24"/>
              <w:szCs w:val="24"/>
              <w:lang w:val="en-GB"/>
            </w:rPr>
          </w:pPr>
        </w:p>
        <w:p w14:paraId="5A6425E0" w14:textId="5F47958D" w:rsidR="00F86AFC" w:rsidRPr="00580ABC" w:rsidRDefault="009919AC" w:rsidP="00580ABC">
          <w:pPr>
            <w:numPr>
              <w:ilvl w:val="0"/>
              <w:numId w:val="1"/>
            </w:numPr>
            <w:tabs>
              <w:tab w:val="left" w:pos="709"/>
              <w:tab w:val="num" w:pos="1557"/>
              <w:tab w:val="num" w:pos="8222"/>
            </w:tabs>
            <w:spacing w:after="0" w:line="240" w:lineRule="auto"/>
            <w:ind w:left="0" w:firstLine="0"/>
            <w:jc w:val="both"/>
            <w:rPr>
              <w:rFonts w:cstheme="minorHAnsi"/>
              <w:sz w:val="24"/>
              <w:szCs w:val="24"/>
              <w:lang w:val="en-GB"/>
            </w:rPr>
          </w:pPr>
          <w:r w:rsidRPr="000D4A19">
            <w:rPr>
              <w:rFonts w:ascii="Calibri" w:eastAsiaTheme="majorEastAsia" w:hAnsi="Calibri" w:cstheme="majorBidi"/>
              <w:bCs/>
              <w:sz w:val="24"/>
              <w:szCs w:val="24"/>
              <w:lang w:val="en-GB"/>
            </w:rPr>
            <w:t xml:space="preserve">Police officers do not enjoy immunity or other procedural privileges. They are subject to ordinary criminal procedures. </w:t>
          </w:r>
          <w:r w:rsidR="00580ABC">
            <w:rPr>
              <w:rFonts w:cstheme="minorHAnsi"/>
              <w:sz w:val="24"/>
              <w:szCs w:val="24"/>
              <w:lang w:val="en-GB"/>
            </w:rPr>
            <w:t xml:space="preserve">In case of suspicion that a police officer has committed </w:t>
          </w:r>
          <w:r w:rsidR="0052665B" w:rsidRPr="00580ABC">
            <w:rPr>
              <w:rFonts w:ascii="Calibri" w:eastAsiaTheme="majorEastAsia" w:hAnsi="Calibri" w:cstheme="majorBidi"/>
              <w:bCs/>
              <w:sz w:val="24"/>
              <w:szCs w:val="24"/>
              <w:lang w:val="en-GB"/>
            </w:rPr>
            <w:t>a criminal offence</w:t>
          </w:r>
          <w:r w:rsidR="00F86AFC" w:rsidRPr="00580ABC">
            <w:rPr>
              <w:rFonts w:ascii="Calibri" w:eastAsiaTheme="majorEastAsia" w:hAnsi="Calibri" w:cstheme="majorBidi"/>
              <w:bCs/>
              <w:sz w:val="24"/>
              <w:szCs w:val="24"/>
              <w:lang w:val="en-GB"/>
            </w:rPr>
            <w:t>,</w:t>
          </w:r>
          <w:r w:rsidR="00DC6364" w:rsidRPr="00580ABC">
            <w:rPr>
              <w:rFonts w:ascii="Calibri" w:eastAsiaTheme="majorEastAsia" w:hAnsi="Calibri" w:cstheme="majorBidi"/>
              <w:bCs/>
              <w:sz w:val="24"/>
              <w:szCs w:val="24"/>
              <w:lang w:val="en-GB"/>
            </w:rPr>
            <w:t xml:space="preserve"> the criminal police </w:t>
          </w:r>
          <w:r w:rsidR="00580ABC">
            <w:rPr>
              <w:rFonts w:ascii="Calibri" w:eastAsiaTheme="majorEastAsia" w:hAnsi="Calibri" w:cstheme="majorBidi"/>
              <w:bCs/>
              <w:sz w:val="24"/>
              <w:szCs w:val="24"/>
              <w:lang w:val="en-GB"/>
            </w:rPr>
            <w:t xml:space="preserve">is to </w:t>
          </w:r>
          <w:r w:rsidR="00DC6364" w:rsidRPr="00580ABC">
            <w:rPr>
              <w:rFonts w:ascii="Calibri" w:eastAsiaTheme="majorEastAsia" w:hAnsi="Calibri" w:cstheme="majorBidi"/>
              <w:bCs/>
              <w:sz w:val="24"/>
              <w:szCs w:val="24"/>
              <w:lang w:val="en-GB"/>
            </w:rPr>
            <w:t>take over</w:t>
          </w:r>
          <w:r w:rsidR="00580ABC">
            <w:rPr>
              <w:rFonts w:ascii="Calibri" w:eastAsiaTheme="majorEastAsia" w:hAnsi="Calibri" w:cstheme="majorBidi"/>
              <w:bCs/>
              <w:sz w:val="24"/>
              <w:szCs w:val="24"/>
              <w:lang w:val="en-GB"/>
            </w:rPr>
            <w:t xml:space="preserve"> the criminal investigation, which</w:t>
          </w:r>
          <w:r w:rsidR="00DC6364" w:rsidRPr="00580ABC">
            <w:rPr>
              <w:rFonts w:ascii="Calibri" w:eastAsiaTheme="majorEastAsia" w:hAnsi="Calibri" w:cstheme="majorBidi"/>
              <w:bCs/>
              <w:sz w:val="24"/>
              <w:szCs w:val="24"/>
              <w:lang w:val="en-GB"/>
            </w:rPr>
            <w:t xml:space="preserve"> </w:t>
          </w:r>
          <w:r w:rsidR="00580ABC">
            <w:rPr>
              <w:rFonts w:ascii="Calibri" w:eastAsiaTheme="majorEastAsia" w:hAnsi="Calibri" w:cstheme="majorBidi"/>
              <w:bCs/>
              <w:sz w:val="24"/>
              <w:szCs w:val="24"/>
              <w:lang w:val="en-GB"/>
            </w:rPr>
            <w:t xml:space="preserve">is </w:t>
          </w:r>
          <w:r w:rsidRPr="00580ABC">
            <w:rPr>
              <w:rFonts w:ascii="Calibri" w:eastAsiaTheme="majorEastAsia" w:hAnsi="Calibri" w:cstheme="majorBidi"/>
              <w:bCs/>
              <w:sz w:val="24"/>
              <w:szCs w:val="24"/>
              <w:lang w:val="en-GB"/>
            </w:rPr>
            <w:t>to be conducted by the organisational unit assigned for this purpose by the Director General (which cannot be the same organisational unit where the p</w:t>
          </w:r>
          <w:r w:rsidR="0033335E" w:rsidRPr="00580ABC">
            <w:rPr>
              <w:rFonts w:ascii="Calibri" w:eastAsiaTheme="majorEastAsia" w:hAnsi="Calibri" w:cstheme="majorBidi"/>
              <w:bCs/>
              <w:sz w:val="24"/>
              <w:szCs w:val="24"/>
              <w:lang w:val="en-GB"/>
            </w:rPr>
            <w:t xml:space="preserve">erson in question is employed). </w:t>
          </w:r>
          <w:r w:rsidR="00580ABC">
            <w:rPr>
              <w:rFonts w:cstheme="minorHAnsi"/>
              <w:sz w:val="24"/>
              <w:szCs w:val="24"/>
              <w:lang w:val="en-GB"/>
            </w:rPr>
            <w:t xml:space="preserve">The Director General is to designate (in writing) which criminal investigation unit is to carry out the investigation, depending on the hierarchical position of the police unit of the police officer in question and the severity and type of crime, in accordance with the Ordinance on the manner in which police officers are treated (Official Gazette, No. 89/10 and 76/15). </w:t>
          </w:r>
          <w:r w:rsidR="0033335E" w:rsidRPr="00580ABC">
            <w:rPr>
              <w:rFonts w:ascii="Calibri" w:eastAsiaTheme="majorEastAsia" w:hAnsi="Calibri" w:cstheme="majorBidi"/>
              <w:bCs/>
              <w:sz w:val="24"/>
              <w:szCs w:val="24"/>
              <w:lang w:val="en-GB"/>
            </w:rPr>
            <w:t>In addition, especially if it concern</w:t>
          </w:r>
          <w:r w:rsidR="00436EE8" w:rsidRPr="00580ABC">
            <w:rPr>
              <w:rFonts w:ascii="Calibri" w:eastAsiaTheme="majorEastAsia" w:hAnsi="Calibri" w:cstheme="majorBidi"/>
              <w:bCs/>
              <w:sz w:val="24"/>
              <w:szCs w:val="24"/>
              <w:lang w:val="en-GB"/>
            </w:rPr>
            <w:t>ed</w:t>
          </w:r>
          <w:r w:rsidR="0033335E" w:rsidRPr="00580ABC">
            <w:rPr>
              <w:rFonts w:ascii="Calibri" w:eastAsiaTheme="majorEastAsia" w:hAnsi="Calibri" w:cstheme="majorBidi"/>
              <w:bCs/>
              <w:sz w:val="24"/>
              <w:szCs w:val="24"/>
              <w:lang w:val="en-GB"/>
            </w:rPr>
            <w:t xml:space="preserve"> high-level police officers </w:t>
          </w:r>
          <w:r w:rsidR="00DC6364" w:rsidRPr="00580ABC">
            <w:rPr>
              <w:rFonts w:ascii="Calibri" w:eastAsiaTheme="majorEastAsia" w:hAnsi="Calibri" w:cstheme="majorBidi"/>
              <w:bCs/>
              <w:sz w:val="24"/>
              <w:szCs w:val="24"/>
              <w:lang w:val="en-GB"/>
            </w:rPr>
            <w:t xml:space="preserve">the State Attorney’s Office </w:t>
          </w:r>
          <w:r w:rsidR="0033335E" w:rsidRPr="00580ABC">
            <w:rPr>
              <w:rFonts w:ascii="Calibri" w:eastAsiaTheme="majorEastAsia" w:hAnsi="Calibri" w:cstheme="majorBidi"/>
              <w:bCs/>
              <w:sz w:val="24"/>
              <w:szCs w:val="24"/>
              <w:lang w:val="en-GB"/>
            </w:rPr>
            <w:t xml:space="preserve">or USKOK (for corruption) would take over </w:t>
          </w:r>
          <w:r w:rsidR="00DC6364" w:rsidRPr="00580ABC">
            <w:rPr>
              <w:rFonts w:ascii="Calibri" w:eastAsiaTheme="majorEastAsia" w:hAnsi="Calibri" w:cstheme="majorBidi"/>
              <w:bCs/>
              <w:sz w:val="24"/>
              <w:szCs w:val="24"/>
              <w:lang w:val="en-GB"/>
            </w:rPr>
            <w:t xml:space="preserve">such investigations. </w:t>
          </w:r>
        </w:p>
        <w:p w14:paraId="30E33909" w14:textId="063CA27A" w:rsidR="009919AC" w:rsidRPr="000D4A19" w:rsidRDefault="009919AC" w:rsidP="004B7CAB">
          <w:pPr>
            <w:spacing w:after="0" w:line="240" w:lineRule="auto"/>
            <w:jc w:val="both"/>
            <w:rPr>
              <w:rFonts w:cstheme="minorHAnsi"/>
              <w:sz w:val="24"/>
              <w:szCs w:val="24"/>
              <w:lang w:val="en-GB"/>
            </w:rPr>
          </w:pPr>
        </w:p>
        <w:p w14:paraId="180FCEA3" w14:textId="77777777" w:rsidR="009919AC" w:rsidRPr="000D4A19" w:rsidRDefault="009919AC" w:rsidP="002B24B1">
          <w:pPr>
            <w:pStyle w:val="Naslov3"/>
            <w:keepNext w:val="0"/>
            <w:keepLines w:val="0"/>
            <w:widowControl w:val="0"/>
            <w:tabs>
              <w:tab w:val="left" w:pos="709"/>
            </w:tabs>
            <w:spacing w:before="0" w:line="240" w:lineRule="auto"/>
            <w:jc w:val="both"/>
            <w:rPr>
              <w:rFonts w:asciiTheme="minorHAnsi" w:hAnsiTheme="minorHAnsi"/>
              <w:b w:val="0"/>
              <w:i/>
              <w:color w:val="auto"/>
              <w:sz w:val="24"/>
              <w:szCs w:val="24"/>
              <w:lang w:val="en-GB"/>
            </w:rPr>
          </w:pPr>
          <w:bookmarkStart w:id="254" w:name="_Toc4762906"/>
          <w:bookmarkStart w:id="255" w:name="_Toc25229352"/>
          <w:r w:rsidRPr="000D4A19">
            <w:rPr>
              <w:rFonts w:asciiTheme="minorHAnsi" w:hAnsiTheme="minorHAnsi"/>
              <w:b w:val="0"/>
              <w:i/>
              <w:color w:val="auto"/>
              <w:sz w:val="24"/>
              <w:szCs w:val="24"/>
              <w:lang w:val="en-GB"/>
            </w:rPr>
            <w:t>Statistics</w:t>
          </w:r>
          <w:bookmarkEnd w:id="254"/>
          <w:bookmarkEnd w:id="255"/>
        </w:p>
        <w:p w14:paraId="3C0DD409" w14:textId="5817D39B" w:rsidR="009919AC" w:rsidRDefault="009919AC" w:rsidP="002B24B1">
          <w:pPr>
            <w:widowControl w:val="0"/>
            <w:spacing w:after="0" w:line="240" w:lineRule="auto"/>
            <w:jc w:val="center"/>
            <w:rPr>
              <w:rFonts w:ascii="Calibri" w:eastAsiaTheme="majorEastAsia" w:hAnsi="Calibri" w:cstheme="majorBidi"/>
              <w:bCs/>
              <w:i/>
              <w:sz w:val="20"/>
              <w:szCs w:val="20"/>
              <w:lang w:val="en-GB"/>
            </w:rPr>
          </w:pPr>
          <w:r w:rsidRPr="000D4A19">
            <w:rPr>
              <w:rFonts w:ascii="Calibri" w:eastAsiaTheme="majorEastAsia" w:hAnsi="Calibri" w:cstheme="majorBidi"/>
              <w:bCs/>
              <w:i/>
              <w:sz w:val="20"/>
              <w:szCs w:val="20"/>
              <w:lang w:val="en-GB"/>
            </w:rPr>
            <w:t>Disciplinary offences (breaches of professional duty)</w:t>
          </w:r>
        </w:p>
        <w:p w14:paraId="251DC650" w14:textId="77777777" w:rsidR="002B24B1" w:rsidRPr="000D4A19" w:rsidRDefault="002B24B1" w:rsidP="002B24B1">
          <w:pPr>
            <w:widowControl w:val="0"/>
            <w:spacing w:after="0" w:line="240" w:lineRule="auto"/>
            <w:jc w:val="center"/>
            <w:rPr>
              <w:rFonts w:ascii="Calibri" w:eastAsiaTheme="majorEastAsia" w:hAnsi="Calibri" w:cstheme="majorBidi"/>
              <w:bCs/>
              <w:i/>
              <w:sz w:val="20"/>
              <w:szCs w:val="20"/>
              <w:lang w:val="en-GB"/>
            </w:rPr>
          </w:pPr>
        </w:p>
        <w:tbl>
          <w:tblPr>
            <w:tblStyle w:val="Reetkatablice"/>
            <w:tblW w:w="0" w:type="auto"/>
            <w:tblLook w:val="04A0" w:firstRow="1" w:lastRow="0" w:firstColumn="1" w:lastColumn="0" w:noHBand="0" w:noVBand="1"/>
          </w:tblPr>
          <w:tblGrid>
            <w:gridCol w:w="6275"/>
            <w:gridCol w:w="705"/>
            <w:gridCol w:w="705"/>
            <w:gridCol w:w="704"/>
            <w:gridCol w:w="671"/>
          </w:tblGrid>
          <w:tr w:rsidR="009919AC" w:rsidRPr="000D4A19" w14:paraId="398A7AFA" w14:textId="77777777" w:rsidTr="00051311">
            <w:tc>
              <w:tcPr>
                <w:tcW w:w="6275" w:type="dxa"/>
                <w:tcBorders>
                  <w:bottom w:val="single" w:sz="4" w:space="0" w:color="auto"/>
                </w:tcBorders>
                <w:shd w:val="pct15" w:color="auto" w:fill="auto"/>
              </w:tcPr>
              <w:p w14:paraId="798C1F34" w14:textId="77777777" w:rsidR="009919AC" w:rsidRPr="000D4A19" w:rsidRDefault="009919AC" w:rsidP="002B24B1">
                <w:pPr>
                  <w:widowControl w:val="0"/>
                  <w:rPr>
                    <w:rFonts w:eastAsiaTheme="majorEastAsia" w:cstheme="majorBidi"/>
                    <w:b/>
                    <w:bCs/>
                    <w:sz w:val="20"/>
                    <w:szCs w:val="20"/>
                    <w:lang w:val="en-GB"/>
                  </w:rPr>
                </w:pPr>
              </w:p>
            </w:tc>
            <w:tc>
              <w:tcPr>
                <w:tcW w:w="705" w:type="dxa"/>
                <w:tcBorders>
                  <w:bottom w:val="single" w:sz="4" w:space="0" w:color="auto"/>
                </w:tcBorders>
                <w:shd w:val="pct15" w:color="auto" w:fill="auto"/>
              </w:tcPr>
              <w:p w14:paraId="0F96081A" w14:textId="77777777" w:rsidR="009919AC" w:rsidRPr="000D4A19" w:rsidRDefault="009919AC" w:rsidP="002B24B1">
                <w:pPr>
                  <w:widowControl w:val="0"/>
                  <w:rPr>
                    <w:rFonts w:eastAsiaTheme="majorEastAsia" w:cstheme="majorBidi"/>
                    <w:b/>
                    <w:bCs/>
                    <w:sz w:val="20"/>
                    <w:szCs w:val="20"/>
                    <w:lang w:val="en-GB"/>
                  </w:rPr>
                </w:pPr>
                <w:r w:rsidRPr="000D4A19">
                  <w:rPr>
                    <w:rFonts w:eastAsiaTheme="majorEastAsia" w:cstheme="majorBidi"/>
                    <w:b/>
                    <w:bCs/>
                    <w:sz w:val="20"/>
                    <w:szCs w:val="20"/>
                    <w:lang w:val="en-GB"/>
                  </w:rPr>
                  <w:t>2015</w:t>
                </w:r>
              </w:p>
            </w:tc>
            <w:tc>
              <w:tcPr>
                <w:tcW w:w="705" w:type="dxa"/>
                <w:tcBorders>
                  <w:bottom w:val="single" w:sz="4" w:space="0" w:color="auto"/>
                </w:tcBorders>
                <w:shd w:val="pct15" w:color="auto" w:fill="auto"/>
              </w:tcPr>
              <w:p w14:paraId="09C18AD1" w14:textId="77777777" w:rsidR="009919AC" w:rsidRPr="000D4A19" w:rsidRDefault="009919AC" w:rsidP="002B24B1">
                <w:pPr>
                  <w:widowControl w:val="0"/>
                  <w:rPr>
                    <w:rFonts w:eastAsiaTheme="majorEastAsia" w:cstheme="majorBidi"/>
                    <w:b/>
                    <w:bCs/>
                    <w:sz w:val="20"/>
                    <w:szCs w:val="20"/>
                    <w:lang w:val="en-GB"/>
                  </w:rPr>
                </w:pPr>
                <w:r w:rsidRPr="000D4A19">
                  <w:rPr>
                    <w:rFonts w:eastAsiaTheme="majorEastAsia" w:cstheme="majorBidi"/>
                    <w:b/>
                    <w:bCs/>
                    <w:sz w:val="20"/>
                    <w:szCs w:val="20"/>
                    <w:lang w:val="en-GB"/>
                  </w:rPr>
                  <w:t>2016</w:t>
                </w:r>
              </w:p>
            </w:tc>
            <w:tc>
              <w:tcPr>
                <w:tcW w:w="704" w:type="dxa"/>
                <w:tcBorders>
                  <w:bottom w:val="single" w:sz="4" w:space="0" w:color="auto"/>
                </w:tcBorders>
                <w:shd w:val="pct15" w:color="auto" w:fill="auto"/>
              </w:tcPr>
              <w:p w14:paraId="60F71E55" w14:textId="77777777" w:rsidR="009919AC" w:rsidRPr="000D4A19" w:rsidRDefault="009919AC" w:rsidP="002B24B1">
                <w:pPr>
                  <w:widowControl w:val="0"/>
                  <w:rPr>
                    <w:rFonts w:eastAsiaTheme="majorEastAsia" w:cstheme="majorBidi"/>
                    <w:b/>
                    <w:bCs/>
                    <w:sz w:val="20"/>
                    <w:szCs w:val="20"/>
                    <w:lang w:val="en-GB"/>
                  </w:rPr>
                </w:pPr>
                <w:r w:rsidRPr="000D4A19">
                  <w:rPr>
                    <w:rFonts w:eastAsiaTheme="majorEastAsia" w:cstheme="majorBidi"/>
                    <w:b/>
                    <w:bCs/>
                    <w:sz w:val="20"/>
                    <w:szCs w:val="20"/>
                    <w:lang w:val="en-GB"/>
                  </w:rPr>
                  <w:t>2017</w:t>
                </w:r>
              </w:p>
            </w:tc>
            <w:tc>
              <w:tcPr>
                <w:tcW w:w="671" w:type="dxa"/>
                <w:tcBorders>
                  <w:bottom w:val="single" w:sz="4" w:space="0" w:color="auto"/>
                </w:tcBorders>
                <w:shd w:val="pct15" w:color="auto" w:fill="auto"/>
              </w:tcPr>
              <w:p w14:paraId="03539BBE" w14:textId="77777777" w:rsidR="009919AC" w:rsidRPr="000D4A19" w:rsidRDefault="009919AC" w:rsidP="002B24B1">
                <w:pPr>
                  <w:widowControl w:val="0"/>
                  <w:rPr>
                    <w:rFonts w:eastAsiaTheme="majorEastAsia" w:cstheme="majorBidi"/>
                    <w:b/>
                    <w:bCs/>
                    <w:sz w:val="20"/>
                    <w:szCs w:val="20"/>
                    <w:lang w:val="en-GB"/>
                  </w:rPr>
                </w:pPr>
                <w:r w:rsidRPr="000D4A19">
                  <w:rPr>
                    <w:rFonts w:eastAsiaTheme="majorEastAsia" w:cstheme="majorBidi"/>
                    <w:b/>
                    <w:bCs/>
                    <w:sz w:val="20"/>
                    <w:szCs w:val="20"/>
                    <w:lang w:val="en-GB"/>
                  </w:rPr>
                  <w:t>2018</w:t>
                </w:r>
              </w:p>
            </w:tc>
          </w:tr>
          <w:tr w:rsidR="009919AC" w:rsidRPr="000D4A19" w14:paraId="0D821CF3" w14:textId="77777777" w:rsidTr="00051311">
            <w:tc>
              <w:tcPr>
                <w:tcW w:w="6275" w:type="dxa"/>
                <w:shd w:val="pct15" w:color="auto" w:fill="auto"/>
              </w:tcPr>
              <w:p w14:paraId="109C9015" w14:textId="77777777" w:rsidR="009919AC" w:rsidRPr="000D4A19" w:rsidRDefault="009919AC" w:rsidP="002B24B1">
                <w:pPr>
                  <w:widowControl w:val="0"/>
                  <w:rPr>
                    <w:rFonts w:eastAsiaTheme="majorEastAsia" w:cstheme="majorBidi"/>
                    <w:b/>
                    <w:bCs/>
                    <w:sz w:val="20"/>
                    <w:szCs w:val="20"/>
                    <w:lang w:val="en-GB"/>
                  </w:rPr>
                </w:pPr>
                <w:r w:rsidRPr="000D4A19">
                  <w:rPr>
                    <w:rFonts w:eastAsiaTheme="majorEastAsia" w:cstheme="majorBidi"/>
                    <w:b/>
                    <w:bCs/>
                    <w:sz w:val="20"/>
                    <w:szCs w:val="20"/>
                    <w:lang w:val="en-GB"/>
                  </w:rPr>
                  <w:t xml:space="preserve">POLICE OFFICERS </w:t>
                </w:r>
              </w:p>
            </w:tc>
            <w:tc>
              <w:tcPr>
                <w:tcW w:w="705" w:type="dxa"/>
                <w:shd w:val="pct15" w:color="auto" w:fill="auto"/>
              </w:tcPr>
              <w:p w14:paraId="61503624" w14:textId="77777777" w:rsidR="009919AC" w:rsidRPr="000D4A19" w:rsidRDefault="009919AC" w:rsidP="002B24B1">
                <w:pPr>
                  <w:widowControl w:val="0"/>
                  <w:jc w:val="center"/>
                  <w:rPr>
                    <w:rFonts w:eastAsiaTheme="majorEastAsia" w:cstheme="majorBidi"/>
                    <w:b/>
                    <w:bCs/>
                    <w:sz w:val="20"/>
                    <w:szCs w:val="20"/>
                    <w:lang w:val="en-GB"/>
                  </w:rPr>
                </w:pPr>
                <w:r w:rsidRPr="000D4A19">
                  <w:rPr>
                    <w:rFonts w:eastAsiaTheme="majorEastAsia" w:cstheme="majorBidi"/>
                    <w:b/>
                    <w:bCs/>
                    <w:sz w:val="20"/>
                    <w:szCs w:val="20"/>
                    <w:lang w:val="en-GB"/>
                  </w:rPr>
                  <w:t>7</w:t>
                </w:r>
              </w:p>
            </w:tc>
            <w:tc>
              <w:tcPr>
                <w:tcW w:w="705" w:type="dxa"/>
                <w:shd w:val="pct15" w:color="auto" w:fill="auto"/>
              </w:tcPr>
              <w:p w14:paraId="5D39EBFA" w14:textId="77777777" w:rsidR="009919AC" w:rsidRPr="000D4A19" w:rsidRDefault="009919AC" w:rsidP="002B24B1">
                <w:pPr>
                  <w:widowControl w:val="0"/>
                  <w:jc w:val="center"/>
                  <w:rPr>
                    <w:rFonts w:eastAsiaTheme="majorEastAsia" w:cstheme="majorBidi"/>
                    <w:b/>
                    <w:bCs/>
                    <w:sz w:val="20"/>
                    <w:szCs w:val="20"/>
                    <w:lang w:val="en-GB"/>
                  </w:rPr>
                </w:pPr>
                <w:r w:rsidRPr="000D4A19">
                  <w:rPr>
                    <w:rFonts w:eastAsiaTheme="majorEastAsia" w:cstheme="majorBidi"/>
                    <w:b/>
                    <w:bCs/>
                    <w:sz w:val="20"/>
                    <w:szCs w:val="20"/>
                    <w:lang w:val="en-GB"/>
                  </w:rPr>
                  <w:t xml:space="preserve">18 </w:t>
                </w:r>
              </w:p>
            </w:tc>
            <w:tc>
              <w:tcPr>
                <w:tcW w:w="704" w:type="dxa"/>
                <w:shd w:val="pct15" w:color="auto" w:fill="auto"/>
              </w:tcPr>
              <w:p w14:paraId="121EBB0D" w14:textId="77777777" w:rsidR="009919AC" w:rsidRPr="000D4A19" w:rsidRDefault="009919AC" w:rsidP="002B24B1">
                <w:pPr>
                  <w:widowControl w:val="0"/>
                  <w:jc w:val="center"/>
                  <w:rPr>
                    <w:rFonts w:eastAsiaTheme="majorEastAsia" w:cstheme="majorBidi"/>
                    <w:b/>
                    <w:bCs/>
                    <w:sz w:val="20"/>
                    <w:szCs w:val="20"/>
                    <w:lang w:val="en-GB"/>
                  </w:rPr>
                </w:pPr>
                <w:r w:rsidRPr="000D4A19">
                  <w:rPr>
                    <w:rFonts w:eastAsiaTheme="majorEastAsia" w:cstheme="majorBidi"/>
                    <w:b/>
                    <w:bCs/>
                    <w:sz w:val="20"/>
                    <w:szCs w:val="20"/>
                    <w:lang w:val="en-GB"/>
                  </w:rPr>
                  <w:t>6</w:t>
                </w:r>
              </w:p>
            </w:tc>
            <w:tc>
              <w:tcPr>
                <w:tcW w:w="671" w:type="dxa"/>
                <w:shd w:val="pct15" w:color="auto" w:fill="auto"/>
              </w:tcPr>
              <w:p w14:paraId="3FFAA469" w14:textId="77777777" w:rsidR="009919AC" w:rsidRPr="000D4A19" w:rsidRDefault="009919AC" w:rsidP="002B24B1">
                <w:pPr>
                  <w:widowControl w:val="0"/>
                  <w:jc w:val="center"/>
                  <w:rPr>
                    <w:rFonts w:eastAsiaTheme="majorEastAsia" w:cstheme="majorBidi"/>
                    <w:b/>
                    <w:bCs/>
                    <w:sz w:val="20"/>
                    <w:szCs w:val="20"/>
                    <w:lang w:val="en-GB"/>
                  </w:rPr>
                </w:pPr>
                <w:r w:rsidRPr="000D4A19">
                  <w:rPr>
                    <w:rFonts w:eastAsiaTheme="majorEastAsia" w:cstheme="majorBidi"/>
                    <w:b/>
                    <w:bCs/>
                    <w:sz w:val="20"/>
                    <w:szCs w:val="20"/>
                    <w:lang w:val="en-GB"/>
                  </w:rPr>
                  <w:t>10</w:t>
                </w:r>
              </w:p>
            </w:tc>
          </w:tr>
          <w:tr w:rsidR="009919AC" w:rsidRPr="000D4A19" w14:paraId="377A26DA" w14:textId="77777777" w:rsidTr="00051311">
            <w:tc>
              <w:tcPr>
                <w:tcW w:w="6275" w:type="dxa"/>
              </w:tcPr>
              <w:p w14:paraId="539D50B8" w14:textId="77777777" w:rsidR="009919AC" w:rsidRPr="000D4A19" w:rsidRDefault="009919AC" w:rsidP="002B24B1">
                <w:pPr>
                  <w:widowControl w:val="0"/>
                  <w:rPr>
                    <w:rFonts w:eastAsiaTheme="majorEastAsia" w:cstheme="majorBidi"/>
                    <w:bCs/>
                    <w:i/>
                    <w:sz w:val="20"/>
                    <w:szCs w:val="20"/>
                    <w:lang w:val="en-GB"/>
                  </w:rPr>
                </w:pPr>
                <w:r w:rsidRPr="000D4A19">
                  <w:rPr>
                    <w:rFonts w:eastAsiaTheme="majorEastAsia" w:cstheme="majorBidi"/>
                    <w:bCs/>
                    <w:i/>
                    <w:sz w:val="20"/>
                    <w:szCs w:val="20"/>
                    <w:lang w:val="en-GB"/>
                  </w:rPr>
                  <w:t xml:space="preserve">Accepting gifts </w:t>
                </w:r>
              </w:p>
            </w:tc>
            <w:tc>
              <w:tcPr>
                <w:tcW w:w="705" w:type="dxa"/>
              </w:tcPr>
              <w:p w14:paraId="552E96C2"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0</w:t>
                </w:r>
              </w:p>
            </w:tc>
            <w:tc>
              <w:tcPr>
                <w:tcW w:w="705" w:type="dxa"/>
              </w:tcPr>
              <w:p w14:paraId="775A6A3D"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0</w:t>
                </w:r>
              </w:p>
            </w:tc>
            <w:tc>
              <w:tcPr>
                <w:tcW w:w="704" w:type="dxa"/>
              </w:tcPr>
              <w:p w14:paraId="62AA973A"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0</w:t>
                </w:r>
              </w:p>
            </w:tc>
            <w:tc>
              <w:tcPr>
                <w:tcW w:w="671" w:type="dxa"/>
              </w:tcPr>
              <w:p w14:paraId="457869A8"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0</w:t>
                </w:r>
              </w:p>
            </w:tc>
          </w:tr>
          <w:tr w:rsidR="009919AC" w:rsidRPr="000D4A19" w14:paraId="22D336AD" w14:textId="77777777" w:rsidTr="00051311">
            <w:tc>
              <w:tcPr>
                <w:tcW w:w="6275" w:type="dxa"/>
              </w:tcPr>
              <w:p w14:paraId="64314459" w14:textId="77777777" w:rsidR="009919AC" w:rsidRPr="000D4A19" w:rsidRDefault="009919AC" w:rsidP="002B24B1">
                <w:pPr>
                  <w:widowControl w:val="0"/>
                  <w:rPr>
                    <w:rFonts w:eastAsiaTheme="majorEastAsia" w:cstheme="majorBidi"/>
                    <w:bCs/>
                    <w:i/>
                    <w:sz w:val="20"/>
                    <w:szCs w:val="20"/>
                    <w:lang w:val="en-GB"/>
                  </w:rPr>
                </w:pPr>
                <w:r w:rsidRPr="000D4A19">
                  <w:rPr>
                    <w:rFonts w:eastAsiaTheme="majorEastAsia" w:cstheme="majorBidi"/>
                    <w:bCs/>
                    <w:i/>
                    <w:sz w:val="20"/>
                    <w:szCs w:val="20"/>
                    <w:lang w:val="en-GB"/>
                  </w:rPr>
                  <w:t xml:space="preserve">Disclosing confidential information </w:t>
                </w:r>
              </w:p>
            </w:tc>
            <w:tc>
              <w:tcPr>
                <w:tcW w:w="705" w:type="dxa"/>
              </w:tcPr>
              <w:p w14:paraId="5117EB4A"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705" w:type="dxa"/>
              </w:tcPr>
              <w:p w14:paraId="1DAA515F"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704" w:type="dxa"/>
              </w:tcPr>
              <w:p w14:paraId="2A007B09"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671" w:type="dxa"/>
              </w:tcPr>
              <w:p w14:paraId="6F7CD3B8"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2</w:t>
                </w:r>
              </w:p>
            </w:tc>
          </w:tr>
          <w:tr w:rsidR="009919AC" w:rsidRPr="000D4A19" w14:paraId="58003247" w14:textId="77777777" w:rsidTr="00051311">
            <w:tc>
              <w:tcPr>
                <w:tcW w:w="6275" w:type="dxa"/>
              </w:tcPr>
              <w:p w14:paraId="1BE55601" w14:textId="77777777" w:rsidR="009919AC" w:rsidRPr="000D4A19" w:rsidRDefault="009919AC" w:rsidP="002B24B1">
                <w:pPr>
                  <w:widowControl w:val="0"/>
                  <w:rPr>
                    <w:rFonts w:eastAsiaTheme="majorEastAsia" w:cstheme="majorBidi"/>
                    <w:bCs/>
                    <w:i/>
                    <w:sz w:val="20"/>
                    <w:szCs w:val="20"/>
                    <w:lang w:val="en-GB"/>
                  </w:rPr>
                </w:pPr>
                <w:r w:rsidRPr="000D4A19">
                  <w:rPr>
                    <w:rFonts w:eastAsiaTheme="majorEastAsia" w:cstheme="majorBidi"/>
                    <w:bCs/>
                    <w:i/>
                    <w:sz w:val="20"/>
                    <w:szCs w:val="20"/>
                    <w:lang w:val="en-GB"/>
                  </w:rPr>
                  <w:t xml:space="preserve">Performing external activities </w:t>
                </w:r>
              </w:p>
            </w:tc>
            <w:tc>
              <w:tcPr>
                <w:tcW w:w="705" w:type="dxa"/>
              </w:tcPr>
              <w:p w14:paraId="48211EF5"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2</w:t>
                </w:r>
              </w:p>
            </w:tc>
            <w:tc>
              <w:tcPr>
                <w:tcW w:w="705" w:type="dxa"/>
              </w:tcPr>
              <w:p w14:paraId="39AD787E"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7</w:t>
                </w:r>
              </w:p>
            </w:tc>
            <w:tc>
              <w:tcPr>
                <w:tcW w:w="704" w:type="dxa"/>
              </w:tcPr>
              <w:p w14:paraId="4EF44B4B"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4</w:t>
                </w:r>
              </w:p>
            </w:tc>
            <w:tc>
              <w:tcPr>
                <w:tcW w:w="671" w:type="dxa"/>
              </w:tcPr>
              <w:p w14:paraId="0CF96E11"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5</w:t>
                </w:r>
              </w:p>
            </w:tc>
          </w:tr>
          <w:tr w:rsidR="009919AC" w:rsidRPr="000D4A19" w14:paraId="2ED3987F" w14:textId="77777777" w:rsidTr="00051311">
            <w:tc>
              <w:tcPr>
                <w:tcW w:w="6275" w:type="dxa"/>
                <w:tcBorders>
                  <w:bottom w:val="single" w:sz="4" w:space="0" w:color="auto"/>
                </w:tcBorders>
              </w:tcPr>
              <w:p w14:paraId="1A95BF29" w14:textId="77777777" w:rsidR="009919AC" w:rsidRPr="000D4A19" w:rsidRDefault="009919AC" w:rsidP="002B24B1">
                <w:pPr>
                  <w:widowControl w:val="0"/>
                  <w:rPr>
                    <w:rFonts w:eastAsiaTheme="majorEastAsia" w:cstheme="majorBidi"/>
                    <w:bCs/>
                    <w:i/>
                    <w:sz w:val="20"/>
                    <w:szCs w:val="20"/>
                    <w:lang w:val="en-GB"/>
                  </w:rPr>
                </w:pPr>
                <w:r w:rsidRPr="000D4A19">
                  <w:rPr>
                    <w:rFonts w:eastAsiaTheme="majorEastAsia" w:cstheme="majorBidi"/>
                    <w:bCs/>
                    <w:i/>
                    <w:sz w:val="20"/>
                    <w:szCs w:val="20"/>
                    <w:lang w:val="en-GB"/>
                  </w:rPr>
                  <w:t>Use of confidential resources for undesignated purposes</w:t>
                </w:r>
              </w:p>
            </w:tc>
            <w:tc>
              <w:tcPr>
                <w:tcW w:w="705" w:type="dxa"/>
                <w:tcBorders>
                  <w:bottom w:val="single" w:sz="4" w:space="0" w:color="auto"/>
                </w:tcBorders>
              </w:tcPr>
              <w:p w14:paraId="7DD35AE9"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4</w:t>
                </w:r>
              </w:p>
            </w:tc>
            <w:tc>
              <w:tcPr>
                <w:tcW w:w="705" w:type="dxa"/>
                <w:tcBorders>
                  <w:bottom w:val="single" w:sz="4" w:space="0" w:color="auto"/>
                </w:tcBorders>
              </w:tcPr>
              <w:p w14:paraId="3053A6BD"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10</w:t>
                </w:r>
              </w:p>
            </w:tc>
            <w:tc>
              <w:tcPr>
                <w:tcW w:w="704" w:type="dxa"/>
                <w:tcBorders>
                  <w:bottom w:val="single" w:sz="4" w:space="0" w:color="auto"/>
                </w:tcBorders>
              </w:tcPr>
              <w:p w14:paraId="14307183"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671" w:type="dxa"/>
                <w:tcBorders>
                  <w:bottom w:val="single" w:sz="4" w:space="0" w:color="auto"/>
                </w:tcBorders>
              </w:tcPr>
              <w:p w14:paraId="217F61B1"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3</w:t>
                </w:r>
              </w:p>
            </w:tc>
          </w:tr>
          <w:tr w:rsidR="009919AC" w:rsidRPr="000D4A19" w14:paraId="32DAF722" w14:textId="77777777" w:rsidTr="00051311">
            <w:tc>
              <w:tcPr>
                <w:tcW w:w="6275" w:type="dxa"/>
                <w:shd w:val="pct15" w:color="auto" w:fill="auto"/>
              </w:tcPr>
              <w:p w14:paraId="068E07C6" w14:textId="063F8784" w:rsidR="009919AC" w:rsidRPr="000D4A19" w:rsidRDefault="002A3077" w:rsidP="002B24B1">
                <w:pPr>
                  <w:widowControl w:val="0"/>
                  <w:rPr>
                    <w:rFonts w:eastAsiaTheme="majorEastAsia" w:cstheme="majorBidi"/>
                    <w:b/>
                    <w:bCs/>
                    <w:sz w:val="20"/>
                    <w:szCs w:val="20"/>
                    <w:lang w:val="en-GB"/>
                  </w:rPr>
                </w:pPr>
                <w:r w:rsidRPr="000D4A19">
                  <w:rPr>
                    <w:rFonts w:eastAsiaTheme="majorEastAsia" w:cstheme="majorBidi"/>
                    <w:b/>
                    <w:bCs/>
                    <w:sz w:val="20"/>
                    <w:szCs w:val="20"/>
                    <w:lang w:val="en-GB"/>
                  </w:rPr>
                  <w:t xml:space="preserve">OTHER POLICE STAFF </w:t>
                </w:r>
              </w:p>
            </w:tc>
            <w:tc>
              <w:tcPr>
                <w:tcW w:w="705" w:type="dxa"/>
                <w:shd w:val="pct15" w:color="auto" w:fill="auto"/>
              </w:tcPr>
              <w:p w14:paraId="11CCDCEC" w14:textId="77777777" w:rsidR="009919AC" w:rsidRPr="000D4A19" w:rsidRDefault="009919AC" w:rsidP="002B24B1">
                <w:pPr>
                  <w:widowControl w:val="0"/>
                  <w:jc w:val="center"/>
                  <w:rPr>
                    <w:rFonts w:eastAsiaTheme="majorEastAsia" w:cstheme="majorBidi"/>
                    <w:b/>
                    <w:bCs/>
                    <w:sz w:val="20"/>
                    <w:szCs w:val="20"/>
                    <w:lang w:val="en-GB"/>
                  </w:rPr>
                </w:pPr>
                <w:r w:rsidRPr="000D4A19">
                  <w:rPr>
                    <w:rFonts w:eastAsiaTheme="majorEastAsia" w:cstheme="majorBidi"/>
                    <w:b/>
                    <w:bCs/>
                    <w:sz w:val="20"/>
                    <w:szCs w:val="20"/>
                    <w:lang w:val="en-GB"/>
                  </w:rPr>
                  <w:t>1</w:t>
                </w:r>
              </w:p>
            </w:tc>
            <w:tc>
              <w:tcPr>
                <w:tcW w:w="705" w:type="dxa"/>
                <w:shd w:val="pct15" w:color="auto" w:fill="auto"/>
              </w:tcPr>
              <w:p w14:paraId="7B4400BA" w14:textId="77777777" w:rsidR="009919AC" w:rsidRPr="000D4A19" w:rsidRDefault="009919AC" w:rsidP="002B24B1">
                <w:pPr>
                  <w:widowControl w:val="0"/>
                  <w:jc w:val="center"/>
                  <w:rPr>
                    <w:rFonts w:eastAsiaTheme="majorEastAsia" w:cstheme="majorBidi"/>
                    <w:b/>
                    <w:bCs/>
                    <w:sz w:val="20"/>
                    <w:szCs w:val="20"/>
                    <w:lang w:val="en-GB"/>
                  </w:rPr>
                </w:pPr>
                <w:r w:rsidRPr="000D4A19">
                  <w:rPr>
                    <w:rFonts w:eastAsiaTheme="majorEastAsia" w:cstheme="majorBidi"/>
                    <w:b/>
                    <w:bCs/>
                    <w:sz w:val="20"/>
                    <w:szCs w:val="20"/>
                    <w:lang w:val="en-GB"/>
                  </w:rPr>
                  <w:t>0</w:t>
                </w:r>
              </w:p>
            </w:tc>
            <w:tc>
              <w:tcPr>
                <w:tcW w:w="704" w:type="dxa"/>
                <w:shd w:val="pct15" w:color="auto" w:fill="auto"/>
              </w:tcPr>
              <w:p w14:paraId="7ADCEC35" w14:textId="77777777" w:rsidR="009919AC" w:rsidRPr="000D4A19" w:rsidRDefault="009919AC" w:rsidP="002B24B1">
                <w:pPr>
                  <w:widowControl w:val="0"/>
                  <w:jc w:val="center"/>
                  <w:rPr>
                    <w:rFonts w:eastAsiaTheme="majorEastAsia" w:cstheme="majorBidi"/>
                    <w:b/>
                    <w:bCs/>
                    <w:sz w:val="20"/>
                    <w:szCs w:val="20"/>
                    <w:lang w:val="en-GB"/>
                  </w:rPr>
                </w:pPr>
                <w:r w:rsidRPr="000D4A19">
                  <w:rPr>
                    <w:rFonts w:eastAsiaTheme="majorEastAsia" w:cstheme="majorBidi"/>
                    <w:b/>
                    <w:bCs/>
                    <w:sz w:val="20"/>
                    <w:szCs w:val="20"/>
                    <w:lang w:val="en-GB"/>
                  </w:rPr>
                  <w:t>0</w:t>
                </w:r>
              </w:p>
            </w:tc>
            <w:tc>
              <w:tcPr>
                <w:tcW w:w="671" w:type="dxa"/>
                <w:shd w:val="pct15" w:color="auto" w:fill="auto"/>
              </w:tcPr>
              <w:p w14:paraId="085EAB36" w14:textId="77777777" w:rsidR="009919AC" w:rsidRPr="000D4A19" w:rsidRDefault="009919AC" w:rsidP="002B24B1">
                <w:pPr>
                  <w:widowControl w:val="0"/>
                  <w:jc w:val="center"/>
                  <w:rPr>
                    <w:rFonts w:eastAsiaTheme="majorEastAsia" w:cstheme="majorBidi"/>
                    <w:b/>
                    <w:bCs/>
                    <w:sz w:val="20"/>
                    <w:szCs w:val="20"/>
                    <w:lang w:val="en-GB"/>
                  </w:rPr>
                </w:pPr>
                <w:r w:rsidRPr="000D4A19">
                  <w:rPr>
                    <w:rFonts w:eastAsiaTheme="majorEastAsia" w:cstheme="majorBidi"/>
                    <w:b/>
                    <w:bCs/>
                    <w:sz w:val="20"/>
                    <w:szCs w:val="20"/>
                    <w:lang w:val="en-GB"/>
                  </w:rPr>
                  <w:t>0</w:t>
                </w:r>
              </w:p>
            </w:tc>
          </w:tr>
          <w:tr w:rsidR="009919AC" w:rsidRPr="000D4A19" w14:paraId="4486D33F" w14:textId="77777777" w:rsidTr="00051311">
            <w:tc>
              <w:tcPr>
                <w:tcW w:w="6275" w:type="dxa"/>
              </w:tcPr>
              <w:p w14:paraId="154795E4" w14:textId="77777777" w:rsidR="009919AC" w:rsidRPr="000D4A19" w:rsidRDefault="009919AC" w:rsidP="002B24B1">
                <w:pPr>
                  <w:widowControl w:val="0"/>
                  <w:rPr>
                    <w:rFonts w:eastAsiaTheme="majorEastAsia" w:cstheme="majorBidi"/>
                    <w:bCs/>
                    <w:i/>
                    <w:sz w:val="20"/>
                    <w:szCs w:val="20"/>
                    <w:lang w:val="en-GB"/>
                  </w:rPr>
                </w:pPr>
                <w:r w:rsidRPr="000D4A19">
                  <w:rPr>
                    <w:rFonts w:eastAsiaTheme="majorEastAsia" w:cstheme="majorBidi"/>
                    <w:bCs/>
                    <w:i/>
                    <w:sz w:val="20"/>
                    <w:szCs w:val="20"/>
                    <w:lang w:val="en-GB"/>
                  </w:rPr>
                  <w:t xml:space="preserve">Accepting gifts </w:t>
                </w:r>
              </w:p>
            </w:tc>
            <w:tc>
              <w:tcPr>
                <w:tcW w:w="705" w:type="dxa"/>
              </w:tcPr>
              <w:p w14:paraId="764E0AB1"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0</w:t>
                </w:r>
              </w:p>
            </w:tc>
            <w:tc>
              <w:tcPr>
                <w:tcW w:w="705" w:type="dxa"/>
              </w:tcPr>
              <w:p w14:paraId="2AFD115A"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0</w:t>
                </w:r>
              </w:p>
            </w:tc>
            <w:tc>
              <w:tcPr>
                <w:tcW w:w="704" w:type="dxa"/>
              </w:tcPr>
              <w:p w14:paraId="498F76A5"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0</w:t>
                </w:r>
              </w:p>
            </w:tc>
            <w:tc>
              <w:tcPr>
                <w:tcW w:w="671" w:type="dxa"/>
              </w:tcPr>
              <w:p w14:paraId="1FC786B0"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0</w:t>
                </w:r>
              </w:p>
            </w:tc>
          </w:tr>
          <w:tr w:rsidR="009919AC" w:rsidRPr="000D4A19" w14:paraId="3B7EB05C" w14:textId="77777777" w:rsidTr="00051311">
            <w:tc>
              <w:tcPr>
                <w:tcW w:w="6275" w:type="dxa"/>
              </w:tcPr>
              <w:p w14:paraId="0362F267" w14:textId="77777777" w:rsidR="009919AC" w:rsidRPr="000D4A19" w:rsidRDefault="009919AC" w:rsidP="002B24B1">
                <w:pPr>
                  <w:widowControl w:val="0"/>
                  <w:rPr>
                    <w:rFonts w:eastAsiaTheme="majorEastAsia" w:cstheme="majorBidi"/>
                    <w:bCs/>
                    <w:i/>
                    <w:sz w:val="20"/>
                    <w:szCs w:val="20"/>
                    <w:lang w:val="en-GB"/>
                  </w:rPr>
                </w:pPr>
                <w:r w:rsidRPr="000D4A19">
                  <w:rPr>
                    <w:rFonts w:eastAsiaTheme="majorEastAsia" w:cstheme="majorBidi"/>
                    <w:bCs/>
                    <w:i/>
                    <w:sz w:val="20"/>
                    <w:szCs w:val="20"/>
                    <w:lang w:val="en-GB"/>
                  </w:rPr>
                  <w:t xml:space="preserve">Breach of official or other secrecy </w:t>
                </w:r>
              </w:p>
            </w:tc>
            <w:tc>
              <w:tcPr>
                <w:tcW w:w="705" w:type="dxa"/>
              </w:tcPr>
              <w:p w14:paraId="05FA1D15"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705" w:type="dxa"/>
              </w:tcPr>
              <w:p w14:paraId="673A62ED"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0</w:t>
                </w:r>
              </w:p>
            </w:tc>
            <w:tc>
              <w:tcPr>
                <w:tcW w:w="704" w:type="dxa"/>
              </w:tcPr>
              <w:p w14:paraId="45F2160F"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0</w:t>
                </w:r>
              </w:p>
            </w:tc>
            <w:tc>
              <w:tcPr>
                <w:tcW w:w="671" w:type="dxa"/>
              </w:tcPr>
              <w:p w14:paraId="73450FDE" w14:textId="77777777" w:rsidR="009919AC" w:rsidRPr="000D4A19" w:rsidRDefault="009919AC" w:rsidP="002B24B1">
                <w:pPr>
                  <w:widowControl w:val="0"/>
                  <w:jc w:val="center"/>
                  <w:rPr>
                    <w:rFonts w:eastAsiaTheme="majorEastAsia" w:cstheme="majorBidi"/>
                    <w:bCs/>
                    <w:sz w:val="20"/>
                    <w:szCs w:val="20"/>
                    <w:lang w:val="en-GB"/>
                  </w:rPr>
                </w:pPr>
                <w:r w:rsidRPr="000D4A19">
                  <w:rPr>
                    <w:rFonts w:eastAsiaTheme="majorEastAsia" w:cstheme="majorBidi"/>
                    <w:bCs/>
                    <w:sz w:val="20"/>
                    <w:szCs w:val="20"/>
                    <w:lang w:val="en-GB"/>
                  </w:rPr>
                  <w:t>0</w:t>
                </w:r>
              </w:p>
            </w:tc>
          </w:tr>
        </w:tbl>
        <w:p w14:paraId="064084E1" w14:textId="77777777" w:rsidR="009919AC" w:rsidRPr="000D4A19" w:rsidRDefault="009919AC" w:rsidP="002B24B1">
          <w:pPr>
            <w:widowControl w:val="0"/>
            <w:spacing w:after="0" w:line="240" w:lineRule="auto"/>
            <w:rPr>
              <w:rFonts w:ascii="Calibri" w:eastAsiaTheme="majorEastAsia" w:hAnsi="Calibri" w:cstheme="majorBidi"/>
              <w:b/>
              <w:bCs/>
              <w:sz w:val="24"/>
              <w:szCs w:val="24"/>
              <w:lang w:val="en-GB"/>
            </w:rPr>
          </w:pPr>
        </w:p>
        <w:p w14:paraId="74365BD7" w14:textId="3B18043D" w:rsidR="009919AC" w:rsidRPr="000D4A19" w:rsidRDefault="009919AC" w:rsidP="004B7CAB">
          <w:pPr>
            <w:numPr>
              <w:ilvl w:val="0"/>
              <w:numId w:val="1"/>
            </w:numPr>
            <w:tabs>
              <w:tab w:val="left" w:pos="709"/>
              <w:tab w:val="num" w:pos="1557"/>
              <w:tab w:val="num" w:pos="8222"/>
            </w:tabs>
            <w:spacing w:after="0" w:line="240" w:lineRule="auto"/>
            <w:ind w:left="0" w:firstLine="0"/>
            <w:jc w:val="both"/>
            <w:rPr>
              <w:rFonts w:ascii="Calibri" w:eastAsiaTheme="majorEastAsia" w:hAnsi="Calibri" w:cstheme="majorBidi"/>
              <w:bCs/>
              <w:sz w:val="24"/>
              <w:szCs w:val="24"/>
              <w:lang w:val="en-GB"/>
            </w:rPr>
          </w:pPr>
          <w:r w:rsidRPr="000D4A19">
            <w:rPr>
              <w:rFonts w:ascii="Calibri" w:eastAsiaTheme="majorEastAsia" w:hAnsi="Calibri" w:cstheme="majorBidi"/>
              <w:bCs/>
              <w:sz w:val="24"/>
              <w:szCs w:val="24"/>
              <w:lang w:val="en-GB"/>
            </w:rPr>
            <w:t xml:space="preserve">For the breaches of professional duty mentioned above various sanctions were imposed on police officers, such as </w:t>
          </w:r>
          <w:r w:rsidR="0041447D" w:rsidRPr="000D4A19">
            <w:rPr>
              <w:rFonts w:ascii="Calibri" w:eastAsiaTheme="majorEastAsia" w:hAnsi="Calibri" w:cstheme="majorBidi"/>
              <w:bCs/>
              <w:sz w:val="24"/>
              <w:szCs w:val="24"/>
              <w:lang w:val="en-GB"/>
            </w:rPr>
            <w:t>a formal notice</w:t>
          </w:r>
          <w:r w:rsidRPr="000D4A19">
            <w:rPr>
              <w:rFonts w:ascii="Calibri" w:eastAsiaTheme="majorEastAsia" w:hAnsi="Calibri" w:cstheme="majorBidi"/>
              <w:bCs/>
              <w:sz w:val="24"/>
              <w:szCs w:val="24"/>
              <w:lang w:val="en-GB"/>
            </w:rPr>
            <w:t xml:space="preserve"> (which was imposed once in 2015, 2016 and 2017), </w:t>
          </w:r>
          <w:r w:rsidR="0041447D" w:rsidRPr="000D4A19">
            <w:rPr>
              <w:rFonts w:ascii="Calibri" w:eastAsiaTheme="majorEastAsia" w:hAnsi="Calibri" w:cstheme="majorBidi"/>
              <w:bCs/>
              <w:sz w:val="24"/>
              <w:szCs w:val="24"/>
              <w:lang w:val="en-GB"/>
            </w:rPr>
            <w:t xml:space="preserve">fines </w:t>
          </w:r>
          <w:r w:rsidRPr="000D4A19">
            <w:rPr>
              <w:rFonts w:ascii="Calibri" w:eastAsiaTheme="majorEastAsia" w:hAnsi="Calibri" w:cstheme="majorBidi"/>
              <w:bCs/>
              <w:sz w:val="24"/>
              <w:szCs w:val="24"/>
              <w:lang w:val="en-GB"/>
            </w:rPr>
            <w:t>(four in 2015, ten in 2016, four in 2017 and three in 2018), transfers to another post (two in 2016), conditional terminations of civil service (one in 2015, three in 2016, one in 2017 and three in 2018) and termination of civil service (one in 2015). In some cases (two in 2016 and one in 2018), no further action was taken and/or the responsibility of the police officer had not been determined and</w:t>
          </w:r>
          <w:r w:rsidR="00436EE8" w:rsidRPr="000D4A19">
            <w:rPr>
              <w:rFonts w:ascii="Calibri" w:eastAsiaTheme="majorEastAsia" w:hAnsi="Calibri" w:cstheme="majorBidi"/>
              <w:bCs/>
              <w:sz w:val="24"/>
              <w:szCs w:val="24"/>
              <w:lang w:val="en-GB"/>
            </w:rPr>
            <w:t>,</w:t>
          </w:r>
          <w:r w:rsidRPr="000D4A19">
            <w:rPr>
              <w:rFonts w:ascii="Calibri" w:eastAsiaTheme="majorEastAsia" w:hAnsi="Calibri" w:cstheme="majorBidi"/>
              <w:bCs/>
              <w:sz w:val="24"/>
              <w:szCs w:val="24"/>
              <w:lang w:val="en-GB"/>
            </w:rPr>
            <w:t xml:space="preserve"> in three cases from 2018</w:t>
          </w:r>
          <w:r w:rsidR="00436EE8" w:rsidRPr="000D4A19">
            <w:rPr>
              <w:rFonts w:ascii="Calibri" w:eastAsiaTheme="majorEastAsia" w:hAnsi="Calibri" w:cstheme="majorBidi"/>
              <w:bCs/>
              <w:sz w:val="24"/>
              <w:szCs w:val="24"/>
              <w:lang w:val="en-GB"/>
            </w:rPr>
            <w:t>,</w:t>
          </w:r>
          <w:r w:rsidRPr="000D4A19">
            <w:rPr>
              <w:rFonts w:ascii="Calibri" w:eastAsiaTheme="majorEastAsia" w:hAnsi="Calibri" w:cstheme="majorBidi"/>
              <w:bCs/>
              <w:sz w:val="24"/>
              <w:szCs w:val="24"/>
              <w:lang w:val="en-GB"/>
            </w:rPr>
            <w:t xml:space="preserve"> the process of determining disciplinary accountability was still on-going. In the one case involving a staff member who was not a police officer in 2016, s/he was fined for breach of official or other secrecy. </w:t>
          </w:r>
        </w:p>
        <w:p w14:paraId="646E3878" w14:textId="77777777" w:rsidR="009919AC" w:rsidRPr="000D4A19" w:rsidRDefault="009919AC" w:rsidP="004B7CAB">
          <w:pPr>
            <w:spacing w:after="0" w:line="240" w:lineRule="auto"/>
            <w:rPr>
              <w:rFonts w:ascii="Calibri" w:eastAsiaTheme="majorEastAsia" w:hAnsi="Calibri" w:cstheme="majorBidi"/>
              <w:b/>
              <w:bCs/>
              <w:sz w:val="24"/>
              <w:szCs w:val="24"/>
              <w:lang w:val="en-GB"/>
            </w:rPr>
          </w:pPr>
        </w:p>
        <w:p w14:paraId="1DC140D4" w14:textId="024DBF36" w:rsidR="00051311" w:rsidRDefault="009919AC" w:rsidP="00D66410">
          <w:pPr>
            <w:keepNext/>
            <w:keepLines/>
            <w:spacing w:after="0" w:line="240" w:lineRule="auto"/>
            <w:jc w:val="center"/>
            <w:rPr>
              <w:rFonts w:ascii="Calibri" w:eastAsiaTheme="majorEastAsia" w:hAnsi="Calibri" w:cstheme="majorBidi"/>
              <w:b/>
              <w:bCs/>
              <w:sz w:val="24"/>
              <w:szCs w:val="24"/>
              <w:lang w:val="en-GB"/>
            </w:rPr>
          </w:pPr>
          <w:r w:rsidRPr="000D4A19">
            <w:rPr>
              <w:rFonts w:ascii="Calibri" w:eastAsiaTheme="majorEastAsia" w:hAnsi="Calibri" w:cstheme="majorBidi"/>
              <w:bCs/>
              <w:i/>
              <w:sz w:val="20"/>
              <w:szCs w:val="20"/>
              <w:lang w:val="en-GB"/>
            </w:rPr>
            <w:t>Number of police officers reported for criminal offences (2016-2018)</w:t>
          </w:r>
          <w:r w:rsidR="00774FA6">
            <w:rPr>
              <w:rStyle w:val="Referencafusnote"/>
              <w:rFonts w:ascii="Calibri" w:eastAsiaTheme="majorEastAsia" w:hAnsi="Calibri" w:cstheme="majorBidi"/>
              <w:bCs/>
              <w:i/>
              <w:sz w:val="20"/>
              <w:szCs w:val="20"/>
              <w:lang w:val="en-GB"/>
            </w:rPr>
            <w:footnoteReference w:id="72"/>
          </w:r>
          <w:r w:rsidRPr="000D4A19">
            <w:rPr>
              <w:rFonts w:ascii="Calibri" w:eastAsiaTheme="majorEastAsia" w:hAnsi="Calibri" w:cstheme="majorBidi"/>
              <w:b/>
              <w:bCs/>
              <w:sz w:val="24"/>
              <w:szCs w:val="24"/>
              <w:lang w:val="en-GB"/>
            </w:rPr>
            <w:t xml:space="preserve"> </w:t>
          </w:r>
        </w:p>
        <w:p w14:paraId="7BAD2D6A" w14:textId="77777777" w:rsidR="002B24B1" w:rsidRPr="000D4A19" w:rsidRDefault="002B24B1" w:rsidP="00D66410">
          <w:pPr>
            <w:keepNext/>
            <w:keepLines/>
            <w:spacing w:after="0" w:line="240" w:lineRule="auto"/>
            <w:jc w:val="center"/>
            <w:rPr>
              <w:rFonts w:ascii="Calibri" w:eastAsiaTheme="majorEastAsia" w:hAnsi="Calibri" w:cstheme="majorBidi"/>
              <w:b/>
              <w:bCs/>
              <w:sz w:val="24"/>
              <w:szCs w:val="24"/>
              <w:lang w:val="en-GB"/>
            </w:rPr>
          </w:pPr>
        </w:p>
        <w:tbl>
          <w:tblPr>
            <w:tblStyle w:val="Reetkatablice"/>
            <w:tblW w:w="0" w:type="auto"/>
            <w:tblLook w:val="04A0" w:firstRow="1" w:lastRow="0" w:firstColumn="1" w:lastColumn="0" w:noHBand="0" w:noVBand="1"/>
          </w:tblPr>
          <w:tblGrid>
            <w:gridCol w:w="6275"/>
            <w:gridCol w:w="705"/>
            <w:gridCol w:w="705"/>
            <w:gridCol w:w="704"/>
            <w:gridCol w:w="671"/>
          </w:tblGrid>
          <w:tr w:rsidR="009919AC" w:rsidRPr="000D4A19" w14:paraId="5A726944" w14:textId="77777777" w:rsidTr="002B24B1">
            <w:tc>
              <w:tcPr>
                <w:tcW w:w="6275" w:type="dxa"/>
                <w:tcBorders>
                  <w:bottom w:val="single" w:sz="4" w:space="0" w:color="auto"/>
                </w:tcBorders>
                <w:shd w:val="pct15" w:color="auto" w:fill="auto"/>
              </w:tcPr>
              <w:p w14:paraId="0F8DD66C" w14:textId="77777777" w:rsidR="009919AC" w:rsidRPr="000D4A19" w:rsidRDefault="009919AC" w:rsidP="004B7CAB">
                <w:pPr>
                  <w:rPr>
                    <w:rFonts w:eastAsiaTheme="majorEastAsia" w:cstheme="majorBidi"/>
                    <w:b/>
                    <w:bCs/>
                    <w:sz w:val="20"/>
                    <w:szCs w:val="20"/>
                    <w:lang w:val="en-GB"/>
                  </w:rPr>
                </w:pPr>
              </w:p>
            </w:tc>
            <w:tc>
              <w:tcPr>
                <w:tcW w:w="705" w:type="dxa"/>
                <w:tcBorders>
                  <w:bottom w:val="single" w:sz="4" w:space="0" w:color="auto"/>
                </w:tcBorders>
                <w:shd w:val="pct15" w:color="auto" w:fill="auto"/>
              </w:tcPr>
              <w:p w14:paraId="4F67B9E3" w14:textId="77777777" w:rsidR="009919AC" w:rsidRPr="000D4A19" w:rsidRDefault="009919AC" w:rsidP="004B7CAB">
                <w:pPr>
                  <w:jc w:val="center"/>
                  <w:rPr>
                    <w:rFonts w:eastAsiaTheme="majorEastAsia" w:cstheme="majorBidi"/>
                    <w:b/>
                    <w:bCs/>
                    <w:sz w:val="20"/>
                    <w:szCs w:val="20"/>
                    <w:lang w:val="en-GB"/>
                  </w:rPr>
                </w:pPr>
                <w:r w:rsidRPr="000D4A19">
                  <w:rPr>
                    <w:rFonts w:eastAsiaTheme="majorEastAsia" w:cstheme="majorBidi"/>
                    <w:b/>
                    <w:bCs/>
                    <w:sz w:val="20"/>
                    <w:szCs w:val="20"/>
                    <w:lang w:val="en-GB"/>
                  </w:rPr>
                  <w:t>2015</w:t>
                </w:r>
              </w:p>
            </w:tc>
            <w:tc>
              <w:tcPr>
                <w:tcW w:w="705" w:type="dxa"/>
                <w:tcBorders>
                  <w:bottom w:val="single" w:sz="4" w:space="0" w:color="auto"/>
                </w:tcBorders>
                <w:shd w:val="pct15" w:color="auto" w:fill="auto"/>
              </w:tcPr>
              <w:p w14:paraId="59530C56" w14:textId="77777777" w:rsidR="009919AC" w:rsidRPr="000D4A19" w:rsidRDefault="009919AC" w:rsidP="004B7CAB">
                <w:pPr>
                  <w:jc w:val="center"/>
                  <w:rPr>
                    <w:rFonts w:eastAsiaTheme="majorEastAsia" w:cstheme="majorBidi"/>
                    <w:b/>
                    <w:bCs/>
                    <w:sz w:val="20"/>
                    <w:szCs w:val="20"/>
                    <w:lang w:val="en-GB"/>
                  </w:rPr>
                </w:pPr>
                <w:r w:rsidRPr="000D4A19">
                  <w:rPr>
                    <w:rFonts w:eastAsiaTheme="majorEastAsia" w:cstheme="majorBidi"/>
                    <w:b/>
                    <w:bCs/>
                    <w:sz w:val="20"/>
                    <w:szCs w:val="20"/>
                    <w:lang w:val="en-GB"/>
                  </w:rPr>
                  <w:t>2016</w:t>
                </w:r>
              </w:p>
            </w:tc>
            <w:tc>
              <w:tcPr>
                <w:tcW w:w="704" w:type="dxa"/>
                <w:tcBorders>
                  <w:bottom w:val="single" w:sz="4" w:space="0" w:color="auto"/>
                </w:tcBorders>
                <w:shd w:val="pct15" w:color="auto" w:fill="auto"/>
              </w:tcPr>
              <w:p w14:paraId="620D1509" w14:textId="77777777" w:rsidR="009919AC" w:rsidRPr="000D4A19" w:rsidRDefault="009919AC" w:rsidP="004B7CAB">
                <w:pPr>
                  <w:jc w:val="center"/>
                  <w:rPr>
                    <w:rFonts w:eastAsiaTheme="majorEastAsia" w:cstheme="majorBidi"/>
                    <w:b/>
                    <w:bCs/>
                    <w:sz w:val="20"/>
                    <w:szCs w:val="20"/>
                    <w:lang w:val="en-GB"/>
                  </w:rPr>
                </w:pPr>
                <w:r w:rsidRPr="000D4A19">
                  <w:rPr>
                    <w:rFonts w:eastAsiaTheme="majorEastAsia" w:cstheme="majorBidi"/>
                    <w:b/>
                    <w:bCs/>
                    <w:sz w:val="20"/>
                    <w:szCs w:val="20"/>
                    <w:lang w:val="en-GB"/>
                  </w:rPr>
                  <w:t>2017</w:t>
                </w:r>
              </w:p>
            </w:tc>
            <w:tc>
              <w:tcPr>
                <w:tcW w:w="671" w:type="dxa"/>
                <w:tcBorders>
                  <w:bottom w:val="single" w:sz="4" w:space="0" w:color="auto"/>
                </w:tcBorders>
                <w:shd w:val="pct15" w:color="auto" w:fill="auto"/>
              </w:tcPr>
              <w:p w14:paraId="2AECD349" w14:textId="77777777" w:rsidR="009919AC" w:rsidRPr="000D4A19" w:rsidRDefault="009919AC" w:rsidP="004B7CAB">
                <w:pPr>
                  <w:jc w:val="center"/>
                  <w:rPr>
                    <w:rFonts w:eastAsiaTheme="majorEastAsia" w:cstheme="majorBidi"/>
                    <w:b/>
                    <w:bCs/>
                    <w:sz w:val="20"/>
                    <w:szCs w:val="20"/>
                    <w:lang w:val="en-GB"/>
                  </w:rPr>
                </w:pPr>
                <w:r w:rsidRPr="000D4A19">
                  <w:rPr>
                    <w:rFonts w:eastAsiaTheme="majorEastAsia" w:cstheme="majorBidi"/>
                    <w:b/>
                    <w:bCs/>
                    <w:sz w:val="20"/>
                    <w:szCs w:val="20"/>
                    <w:lang w:val="en-GB"/>
                  </w:rPr>
                  <w:t>2018</w:t>
                </w:r>
              </w:p>
            </w:tc>
          </w:tr>
          <w:tr w:rsidR="009919AC" w:rsidRPr="000D4A19" w14:paraId="487219C0" w14:textId="77777777" w:rsidTr="002B24B1">
            <w:tc>
              <w:tcPr>
                <w:tcW w:w="6275" w:type="dxa"/>
                <w:shd w:val="pct15" w:color="auto" w:fill="auto"/>
              </w:tcPr>
              <w:p w14:paraId="723D360F" w14:textId="77777777" w:rsidR="009919AC" w:rsidRPr="000D4A19" w:rsidRDefault="009919AC" w:rsidP="004B7CAB">
                <w:pPr>
                  <w:rPr>
                    <w:rFonts w:eastAsiaTheme="majorEastAsia" w:cstheme="majorBidi"/>
                    <w:b/>
                    <w:bCs/>
                    <w:sz w:val="20"/>
                    <w:szCs w:val="20"/>
                    <w:lang w:val="en-GB"/>
                  </w:rPr>
                </w:pPr>
                <w:r w:rsidRPr="000D4A19">
                  <w:rPr>
                    <w:rFonts w:eastAsiaTheme="majorEastAsia" w:cstheme="majorBidi"/>
                    <w:b/>
                    <w:bCs/>
                    <w:sz w:val="20"/>
                    <w:szCs w:val="20"/>
                    <w:lang w:val="en-GB"/>
                  </w:rPr>
                  <w:t>Corruption-related offences</w:t>
                </w:r>
              </w:p>
            </w:tc>
            <w:tc>
              <w:tcPr>
                <w:tcW w:w="705" w:type="dxa"/>
                <w:shd w:val="pct15" w:color="auto" w:fill="auto"/>
              </w:tcPr>
              <w:p w14:paraId="314FCDEB" w14:textId="77777777" w:rsidR="009919AC" w:rsidRPr="000D4A19" w:rsidRDefault="009919AC" w:rsidP="004B7CAB">
                <w:pPr>
                  <w:jc w:val="center"/>
                  <w:rPr>
                    <w:rFonts w:eastAsiaTheme="majorEastAsia" w:cstheme="majorBidi"/>
                    <w:b/>
                    <w:bCs/>
                    <w:sz w:val="20"/>
                    <w:szCs w:val="20"/>
                    <w:lang w:val="en-GB"/>
                  </w:rPr>
                </w:pPr>
                <w:r w:rsidRPr="000D4A19">
                  <w:rPr>
                    <w:rFonts w:eastAsiaTheme="majorEastAsia" w:cstheme="majorBidi"/>
                    <w:b/>
                    <w:bCs/>
                    <w:sz w:val="20"/>
                    <w:szCs w:val="20"/>
                    <w:lang w:val="en-GB"/>
                  </w:rPr>
                  <w:t>60</w:t>
                </w:r>
              </w:p>
            </w:tc>
            <w:tc>
              <w:tcPr>
                <w:tcW w:w="705" w:type="dxa"/>
                <w:shd w:val="pct15" w:color="auto" w:fill="auto"/>
              </w:tcPr>
              <w:p w14:paraId="5D9B7C92" w14:textId="77777777" w:rsidR="009919AC" w:rsidRPr="000D4A19" w:rsidRDefault="009919AC" w:rsidP="004B7CAB">
                <w:pPr>
                  <w:jc w:val="center"/>
                  <w:rPr>
                    <w:rFonts w:eastAsiaTheme="majorEastAsia" w:cstheme="majorBidi"/>
                    <w:b/>
                    <w:bCs/>
                    <w:sz w:val="20"/>
                    <w:szCs w:val="20"/>
                    <w:lang w:val="en-GB"/>
                  </w:rPr>
                </w:pPr>
                <w:r w:rsidRPr="000D4A19">
                  <w:rPr>
                    <w:rFonts w:eastAsiaTheme="majorEastAsia" w:cstheme="majorBidi"/>
                    <w:b/>
                    <w:bCs/>
                    <w:sz w:val="20"/>
                    <w:szCs w:val="20"/>
                    <w:lang w:val="en-GB"/>
                  </w:rPr>
                  <w:t>36</w:t>
                </w:r>
              </w:p>
            </w:tc>
            <w:tc>
              <w:tcPr>
                <w:tcW w:w="704" w:type="dxa"/>
                <w:shd w:val="pct15" w:color="auto" w:fill="auto"/>
              </w:tcPr>
              <w:p w14:paraId="3106E2D4" w14:textId="77777777" w:rsidR="009919AC" w:rsidRPr="000D4A19" w:rsidRDefault="009919AC" w:rsidP="004B7CAB">
                <w:pPr>
                  <w:jc w:val="center"/>
                  <w:rPr>
                    <w:rFonts w:eastAsiaTheme="majorEastAsia" w:cstheme="majorBidi"/>
                    <w:b/>
                    <w:bCs/>
                    <w:sz w:val="20"/>
                    <w:szCs w:val="20"/>
                    <w:lang w:val="en-GB"/>
                  </w:rPr>
                </w:pPr>
                <w:r w:rsidRPr="000D4A19">
                  <w:rPr>
                    <w:rFonts w:eastAsiaTheme="majorEastAsia" w:cstheme="majorBidi"/>
                    <w:b/>
                    <w:bCs/>
                    <w:sz w:val="20"/>
                    <w:szCs w:val="20"/>
                    <w:lang w:val="en-GB"/>
                  </w:rPr>
                  <w:t>13</w:t>
                </w:r>
              </w:p>
            </w:tc>
            <w:tc>
              <w:tcPr>
                <w:tcW w:w="671" w:type="dxa"/>
                <w:shd w:val="pct15" w:color="auto" w:fill="auto"/>
              </w:tcPr>
              <w:p w14:paraId="7038A72B" w14:textId="77777777" w:rsidR="009919AC" w:rsidRPr="000D4A19" w:rsidRDefault="009919AC" w:rsidP="004B7CAB">
                <w:pPr>
                  <w:jc w:val="center"/>
                  <w:rPr>
                    <w:rFonts w:eastAsiaTheme="majorEastAsia" w:cstheme="majorBidi"/>
                    <w:b/>
                    <w:bCs/>
                    <w:sz w:val="20"/>
                    <w:szCs w:val="20"/>
                    <w:lang w:val="en-GB"/>
                  </w:rPr>
                </w:pPr>
                <w:r w:rsidRPr="000D4A19">
                  <w:rPr>
                    <w:rFonts w:eastAsiaTheme="majorEastAsia" w:cstheme="majorBidi"/>
                    <w:b/>
                    <w:bCs/>
                    <w:sz w:val="20"/>
                    <w:szCs w:val="20"/>
                    <w:lang w:val="en-GB"/>
                  </w:rPr>
                  <w:t>13</w:t>
                </w:r>
              </w:p>
            </w:tc>
          </w:tr>
          <w:tr w:rsidR="009919AC" w:rsidRPr="000D4A19" w14:paraId="5CC27238" w14:textId="77777777" w:rsidTr="002B24B1">
            <w:tc>
              <w:tcPr>
                <w:tcW w:w="6275" w:type="dxa"/>
              </w:tcPr>
              <w:p w14:paraId="5C52C1C6" w14:textId="6DED753B" w:rsidR="009919AC" w:rsidRPr="000D4A19" w:rsidRDefault="00532108" w:rsidP="004B7CAB">
                <w:pPr>
                  <w:pStyle w:val="Odlomakpopisa"/>
                  <w:numPr>
                    <w:ilvl w:val="0"/>
                    <w:numId w:val="13"/>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 xml:space="preserve"> Abuse of position and power</w:t>
                </w:r>
              </w:p>
            </w:tc>
            <w:tc>
              <w:tcPr>
                <w:tcW w:w="705" w:type="dxa"/>
              </w:tcPr>
              <w:p w14:paraId="6DE0BFC3"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43</w:t>
                </w:r>
              </w:p>
            </w:tc>
            <w:tc>
              <w:tcPr>
                <w:tcW w:w="705" w:type="dxa"/>
              </w:tcPr>
              <w:p w14:paraId="62299F30"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22</w:t>
                </w:r>
              </w:p>
            </w:tc>
            <w:tc>
              <w:tcPr>
                <w:tcW w:w="704" w:type="dxa"/>
              </w:tcPr>
              <w:p w14:paraId="71CCDE4F"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10</w:t>
                </w:r>
              </w:p>
            </w:tc>
            <w:tc>
              <w:tcPr>
                <w:tcW w:w="671" w:type="dxa"/>
              </w:tcPr>
              <w:p w14:paraId="5B796FCA"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9</w:t>
                </w:r>
              </w:p>
            </w:tc>
          </w:tr>
          <w:tr w:rsidR="009919AC" w:rsidRPr="000D4A19" w14:paraId="7B3B7FCF" w14:textId="77777777" w:rsidTr="002B24B1">
            <w:tc>
              <w:tcPr>
                <w:tcW w:w="6275" w:type="dxa"/>
              </w:tcPr>
              <w:p w14:paraId="2AA4C661" w14:textId="77777777" w:rsidR="009919AC" w:rsidRPr="000D4A19" w:rsidRDefault="009919AC" w:rsidP="004B7CAB">
                <w:pPr>
                  <w:pStyle w:val="Odlomakpopisa"/>
                  <w:numPr>
                    <w:ilvl w:val="0"/>
                    <w:numId w:val="13"/>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 xml:space="preserve"> Taking a bribe</w:t>
                </w:r>
              </w:p>
            </w:tc>
            <w:tc>
              <w:tcPr>
                <w:tcW w:w="705" w:type="dxa"/>
              </w:tcPr>
              <w:p w14:paraId="0E5B50A2"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11</w:t>
                </w:r>
              </w:p>
            </w:tc>
            <w:tc>
              <w:tcPr>
                <w:tcW w:w="705" w:type="dxa"/>
              </w:tcPr>
              <w:p w14:paraId="6030FEB6"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12</w:t>
                </w:r>
              </w:p>
            </w:tc>
            <w:tc>
              <w:tcPr>
                <w:tcW w:w="704" w:type="dxa"/>
              </w:tcPr>
              <w:p w14:paraId="52A87E3B"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671" w:type="dxa"/>
              </w:tcPr>
              <w:p w14:paraId="24FF8FC7"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4</w:t>
                </w:r>
              </w:p>
            </w:tc>
          </w:tr>
          <w:tr w:rsidR="009919AC" w:rsidRPr="000D4A19" w14:paraId="4F4645C9" w14:textId="77777777" w:rsidTr="002B24B1">
            <w:tc>
              <w:tcPr>
                <w:tcW w:w="6275" w:type="dxa"/>
              </w:tcPr>
              <w:p w14:paraId="34A32315" w14:textId="77777777" w:rsidR="009919AC" w:rsidRPr="000D4A19" w:rsidRDefault="009919AC" w:rsidP="004B7CAB">
                <w:pPr>
                  <w:pStyle w:val="Odlomakpopisa"/>
                  <w:numPr>
                    <w:ilvl w:val="0"/>
                    <w:numId w:val="13"/>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 xml:space="preserve"> Giving a bribe</w:t>
                </w:r>
              </w:p>
            </w:tc>
            <w:tc>
              <w:tcPr>
                <w:tcW w:w="705" w:type="dxa"/>
              </w:tcPr>
              <w:p w14:paraId="7185B245"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705" w:type="dxa"/>
              </w:tcPr>
              <w:p w14:paraId="3114F282"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704" w:type="dxa"/>
              </w:tcPr>
              <w:p w14:paraId="0BA83F5E" w14:textId="77777777" w:rsidR="009919AC" w:rsidRPr="000D4A19" w:rsidRDefault="009919AC" w:rsidP="004B7CAB">
                <w:pPr>
                  <w:jc w:val="center"/>
                  <w:rPr>
                    <w:rFonts w:eastAsiaTheme="majorEastAsia" w:cstheme="majorBidi"/>
                    <w:bCs/>
                    <w:sz w:val="20"/>
                    <w:szCs w:val="20"/>
                    <w:lang w:val="en-GB"/>
                  </w:rPr>
                </w:pPr>
              </w:p>
            </w:tc>
            <w:tc>
              <w:tcPr>
                <w:tcW w:w="671" w:type="dxa"/>
              </w:tcPr>
              <w:p w14:paraId="5093C054" w14:textId="77777777" w:rsidR="009919AC" w:rsidRPr="000D4A19" w:rsidRDefault="009919AC" w:rsidP="004B7CAB">
                <w:pPr>
                  <w:jc w:val="center"/>
                  <w:rPr>
                    <w:rFonts w:eastAsiaTheme="majorEastAsia" w:cstheme="majorBidi"/>
                    <w:bCs/>
                    <w:sz w:val="20"/>
                    <w:szCs w:val="20"/>
                    <w:lang w:val="en-GB"/>
                  </w:rPr>
                </w:pPr>
              </w:p>
            </w:tc>
          </w:tr>
          <w:tr w:rsidR="009919AC" w:rsidRPr="000D4A19" w14:paraId="71FA3116" w14:textId="77777777" w:rsidTr="002B24B1">
            <w:tc>
              <w:tcPr>
                <w:tcW w:w="6275" w:type="dxa"/>
              </w:tcPr>
              <w:p w14:paraId="55EFFFBE" w14:textId="77777777" w:rsidR="009919AC" w:rsidRPr="000D4A19" w:rsidRDefault="009919AC" w:rsidP="004B7CAB">
                <w:pPr>
                  <w:pStyle w:val="Odlomakpopisa"/>
                  <w:numPr>
                    <w:ilvl w:val="0"/>
                    <w:numId w:val="13"/>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 xml:space="preserve"> Giving a bribe for trading in influence</w:t>
                </w:r>
              </w:p>
            </w:tc>
            <w:tc>
              <w:tcPr>
                <w:tcW w:w="705" w:type="dxa"/>
              </w:tcPr>
              <w:p w14:paraId="7333000D"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705" w:type="dxa"/>
              </w:tcPr>
              <w:p w14:paraId="0695DF5F" w14:textId="77777777" w:rsidR="009919AC" w:rsidRPr="000D4A19" w:rsidRDefault="009919AC" w:rsidP="004B7CAB">
                <w:pPr>
                  <w:jc w:val="center"/>
                  <w:rPr>
                    <w:rFonts w:eastAsiaTheme="majorEastAsia" w:cstheme="majorBidi"/>
                    <w:bCs/>
                    <w:sz w:val="20"/>
                    <w:szCs w:val="20"/>
                    <w:lang w:val="en-GB"/>
                  </w:rPr>
                </w:pPr>
              </w:p>
            </w:tc>
            <w:tc>
              <w:tcPr>
                <w:tcW w:w="704" w:type="dxa"/>
              </w:tcPr>
              <w:p w14:paraId="3EA701AC"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671" w:type="dxa"/>
              </w:tcPr>
              <w:p w14:paraId="27F80C3C" w14:textId="77777777" w:rsidR="009919AC" w:rsidRPr="000D4A19" w:rsidRDefault="009919AC" w:rsidP="004B7CAB">
                <w:pPr>
                  <w:jc w:val="center"/>
                  <w:rPr>
                    <w:rFonts w:eastAsiaTheme="majorEastAsia" w:cstheme="majorBidi"/>
                    <w:bCs/>
                    <w:sz w:val="20"/>
                    <w:szCs w:val="20"/>
                    <w:lang w:val="en-GB"/>
                  </w:rPr>
                </w:pPr>
              </w:p>
            </w:tc>
          </w:tr>
          <w:tr w:rsidR="009919AC" w:rsidRPr="000D4A19" w14:paraId="7623FDE9" w14:textId="77777777" w:rsidTr="002B24B1">
            <w:tc>
              <w:tcPr>
                <w:tcW w:w="6275" w:type="dxa"/>
              </w:tcPr>
              <w:p w14:paraId="263A0A49" w14:textId="77777777" w:rsidR="009919AC" w:rsidRPr="000D4A19" w:rsidRDefault="009919AC" w:rsidP="004B7CAB">
                <w:pPr>
                  <w:pStyle w:val="Odlomakpopisa"/>
                  <w:numPr>
                    <w:ilvl w:val="0"/>
                    <w:numId w:val="13"/>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 xml:space="preserve"> Trading in influence</w:t>
                </w:r>
              </w:p>
            </w:tc>
            <w:tc>
              <w:tcPr>
                <w:tcW w:w="705" w:type="dxa"/>
              </w:tcPr>
              <w:p w14:paraId="1BA95E93"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3</w:t>
                </w:r>
              </w:p>
            </w:tc>
            <w:tc>
              <w:tcPr>
                <w:tcW w:w="705" w:type="dxa"/>
              </w:tcPr>
              <w:p w14:paraId="4B9DEEE4" w14:textId="77777777" w:rsidR="009919AC" w:rsidRPr="000D4A19" w:rsidRDefault="009919AC" w:rsidP="004B7CAB">
                <w:pPr>
                  <w:jc w:val="center"/>
                  <w:rPr>
                    <w:rFonts w:eastAsiaTheme="majorEastAsia" w:cstheme="majorBidi"/>
                    <w:bCs/>
                    <w:sz w:val="20"/>
                    <w:szCs w:val="20"/>
                    <w:lang w:val="en-GB"/>
                  </w:rPr>
                </w:pPr>
              </w:p>
            </w:tc>
            <w:tc>
              <w:tcPr>
                <w:tcW w:w="704" w:type="dxa"/>
              </w:tcPr>
              <w:p w14:paraId="04E2713B"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671" w:type="dxa"/>
              </w:tcPr>
              <w:p w14:paraId="7E1E9416" w14:textId="77777777" w:rsidR="009919AC" w:rsidRPr="000D4A19" w:rsidRDefault="009919AC" w:rsidP="004B7CAB">
                <w:pPr>
                  <w:jc w:val="center"/>
                  <w:rPr>
                    <w:rFonts w:eastAsiaTheme="majorEastAsia" w:cstheme="majorBidi"/>
                    <w:bCs/>
                    <w:sz w:val="20"/>
                    <w:szCs w:val="20"/>
                    <w:lang w:val="en-GB"/>
                  </w:rPr>
                </w:pPr>
              </w:p>
            </w:tc>
          </w:tr>
          <w:tr w:rsidR="009919AC" w:rsidRPr="000D4A19" w14:paraId="43BB31B7" w14:textId="77777777" w:rsidTr="002B24B1">
            <w:tc>
              <w:tcPr>
                <w:tcW w:w="6275" w:type="dxa"/>
                <w:tcBorders>
                  <w:bottom w:val="single" w:sz="4" w:space="0" w:color="auto"/>
                </w:tcBorders>
              </w:tcPr>
              <w:p w14:paraId="5DD0BF77" w14:textId="77777777" w:rsidR="009919AC" w:rsidRPr="000D4A19" w:rsidRDefault="009919AC" w:rsidP="004B7CAB">
                <w:pPr>
                  <w:pStyle w:val="Odlomakpopisa"/>
                  <w:numPr>
                    <w:ilvl w:val="0"/>
                    <w:numId w:val="13"/>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 xml:space="preserve"> Criminal conspiracy </w:t>
                </w:r>
              </w:p>
            </w:tc>
            <w:tc>
              <w:tcPr>
                <w:tcW w:w="705" w:type="dxa"/>
                <w:tcBorders>
                  <w:bottom w:val="single" w:sz="4" w:space="0" w:color="auto"/>
                </w:tcBorders>
              </w:tcPr>
              <w:p w14:paraId="2C4E20C2"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705" w:type="dxa"/>
                <w:tcBorders>
                  <w:bottom w:val="single" w:sz="4" w:space="0" w:color="auto"/>
                </w:tcBorders>
              </w:tcPr>
              <w:p w14:paraId="4C4B74DD"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704" w:type="dxa"/>
                <w:tcBorders>
                  <w:bottom w:val="single" w:sz="4" w:space="0" w:color="auto"/>
                </w:tcBorders>
              </w:tcPr>
              <w:p w14:paraId="05CF1995" w14:textId="77777777" w:rsidR="009919AC" w:rsidRPr="000D4A19" w:rsidRDefault="009919AC" w:rsidP="004B7CAB">
                <w:pPr>
                  <w:jc w:val="center"/>
                  <w:rPr>
                    <w:rFonts w:eastAsiaTheme="majorEastAsia" w:cstheme="majorBidi"/>
                    <w:bCs/>
                    <w:sz w:val="20"/>
                    <w:szCs w:val="20"/>
                    <w:lang w:val="en-GB"/>
                  </w:rPr>
                </w:pPr>
              </w:p>
            </w:tc>
            <w:tc>
              <w:tcPr>
                <w:tcW w:w="671" w:type="dxa"/>
                <w:tcBorders>
                  <w:bottom w:val="single" w:sz="4" w:space="0" w:color="auto"/>
                </w:tcBorders>
              </w:tcPr>
              <w:p w14:paraId="75150DB1" w14:textId="77777777" w:rsidR="009919AC" w:rsidRPr="000D4A19" w:rsidRDefault="009919AC" w:rsidP="004B7CAB">
                <w:pPr>
                  <w:jc w:val="center"/>
                  <w:rPr>
                    <w:rFonts w:eastAsiaTheme="majorEastAsia" w:cstheme="majorBidi"/>
                    <w:bCs/>
                    <w:sz w:val="20"/>
                    <w:szCs w:val="20"/>
                    <w:lang w:val="en-GB"/>
                  </w:rPr>
                </w:pPr>
              </w:p>
            </w:tc>
          </w:tr>
          <w:tr w:rsidR="009919AC" w:rsidRPr="000D4A19" w14:paraId="4D34E4CD" w14:textId="77777777" w:rsidTr="002B24B1">
            <w:tc>
              <w:tcPr>
                <w:tcW w:w="6275" w:type="dxa"/>
                <w:shd w:val="pct15" w:color="auto" w:fill="auto"/>
              </w:tcPr>
              <w:p w14:paraId="2F775708" w14:textId="77777777" w:rsidR="009919AC" w:rsidRPr="000D4A19" w:rsidRDefault="009919AC" w:rsidP="004B7CAB">
                <w:pPr>
                  <w:rPr>
                    <w:rFonts w:eastAsiaTheme="majorEastAsia" w:cstheme="majorBidi"/>
                    <w:b/>
                    <w:bCs/>
                    <w:sz w:val="20"/>
                    <w:szCs w:val="20"/>
                    <w:lang w:val="en-GB"/>
                  </w:rPr>
                </w:pPr>
                <w:r w:rsidRPr="000D4A19">
                  <w:rPr>
                    <w:rFonts w:eastAsiaTheme="majorEastAsia" w:cstheme="majorBidi"/>
                    <w:b/>
                    <w:bCs/>
                    <w:sz w:val="20"/>
                    <w:szCs w:val="20"/>
                    <w:lang w:val="en-GB"/>
                  </w:rPr>
                  <w:t xml:space="preserve">Other offences </w:t>
                </w:r>
              </w:p>
            </w:tc>
            <w:tc>
              <w:tcPr>
                <w:tcW w:w="705" w:type="dxa"/>
                <w:shd w:val="pct15" w:color="auto" w:fill="auto"/>
              </w:tcPr>
              <w:p w14:paraId="1052947E" w14:textId="77777777" w:rsidR="009919AC" w:rsidRPr="000D4A19" w:rsidRDefault="009919AC" w:rsidP="004B7CAB">
                <w:pPr>
                  <w:jc w:val="center"/>
                  <w:rPr>
                    <w:rFonts w:eastAsiaTheme="majorEastAsia" w:cstheme="majorBidi"/>
                    <w:b/>
                    <w:bCs/>
                    <w:sz w:val="20"/>
                    <w:szCs w:val="20"/>
                    <w:lang w:val="en-GB"/>
                  </w:rPr>
                </w:pPr>
                <w:r w:rsidRPr="000D4A19">
                  <w:rPr>
                    <w:rFonts w:eastAsiaTheme="majorEastAsia" w:cstheme="majorBidi"/>
                    <w:b/>
                    <w:bCs/>
                    <w:sz w:val="20"/>
                    <w:szCs w:val="20"/>
                    <w:lang w:val="en-GB"/>
                  </w:rPr>
                  <w:t>16</w:t>
                </w:r>
              </w:p>
            </w:tc>
            <w:tc>
              <w:tcPr>
                <w:tcW w:w="705" w:type="dxa"/>
                <w:shd w:val="pct15" w:color="auto" w:fill="auto"/>
              </w:tcPr>
              <w:p w14:paraId="4B175D4C" w14:textId="77777777" w:rsidR="009919AC" w:rsidRPr="000D4A19" w:rsidRDefault="009919AC" w:rsidP="004B7CAB">
                <w:pPr>
                  <w:jc w:val="center"/>
                  <w:rPr>
                    <w:rFonts w:eastAsiaTheme="majorEastAsia" w:cstheme="majorBidi"/>
                    <w:b/>
                    <w:bCs/>
                    <w:sz w:val="20"/>
                    <w:szCs w:val="20"/>
                    <w:lang w:val="en-GB"/>
                  </w:rPr>
                </w:pPr>
                <w:r w:rsidRPr="000D4A19">
                  <w:rPr>
                    <w:rFonts w:eastAsiaTheme="majorEastAsia" w:cstheme="majorBidi"/>
                    <w:b/>
                    <w:bCs/>
                    <w:sz w:val="20"/>
                    <w:szCs w:val="20"/>
                    <w:lang w:val="en-GB"/>
                  </w:rPr>
                  <w:t>17</w:t>
                </w:r>
              </w:p>
            </w:tc>
            <w:tc>
              <w:tcPr>
                <w:tcW w:w="704" w:type="dxa"/>
                <w:shd w:val="pct15" w:color="auto" w:fill="auto"/>
              </w:tcPr>
              <w:p w14:paraId="5A62F6F0" w14:textId="77777777" w:rsidR="009919AC" w:rsidRPr="000D4A19" w:rsidRDefault="009919AC" w:rsidP="004B7CAB">
                <w:pPr>
                  <w:jc w:val="center"/>
                  <w:rPr>
                    <w:rFonts w:eastAsiaTheme="majorEastAsia" w:cstheme="majorBidi"/>
                    <w:b/>
                    <w:bCs/>
                    <w:sz w:val="20"/>
                    <w:szCs w:val="20"/>
                    <w:lang w:val="en-GB"/>
                  </w:rPr>
                </w:pPr>
                <w:r w:rsidRPr="000D4A19">
                  <w:rPr>
                    <w:rFonts w:eastAsiaTheme="majorEastAsia" w:cstheme="majorBidi"/>
                    <w:b/>
                    <w:bCs/>
                    <w:sz w:val="20"/>
                    <w:szCs w:val="20"/>
                    <w:lang w:val="en-GB"/>
                  </w:rPr>
                  <w:t>8</w:t>
                </w:r>
              </w:p>
            </w:tc>
            <w:tc>
              <w:tcPr>
                <w:tcW w:w="671" w:type="dxa"/>
                <w:shd w:val="pct15" w:color="auto" w:fill="auto"/>
              </w:tcPr>
              <w:p w14:paraId="21A83639" w14:textId="77777777" w:rsidR="009919AC" w:rsidRPr="000D4A19" w:rsidRDefault="009919AC" w:rsidP="004B7CAB">
                <w:pPr>
                  <w:jc w:val="center"/>
                  <w:rPr>
                    <w:rFonts w:eastAsiaTheme="majorEastAsia" w:cstheme="majorBidi"/>
                    <w:b/>
                    <w:bCs/>
                    <w:sz w:val="20"/>
                    <w:szCs w:val="20"/>
                    <w:lang w:val="en-GB"/>
                  </w:rPr>
                </w:pPr>
                <w:r w:rsidRPr="000D4A19">
                  <w:rPr>
                    <w:rFonts w:eastAsiaTheme="majorEastAsia" w:cstheme="majorBidi"/>
                    <w:b/>
                    <w:bCs/>
                    <w:sz w:val="20"/>
                    <w:szCs w:val="20"/>
                    <w:lang w:val="en-GB"/>
                  </w:rPr>
                  <w:t>12</w:t>
                </w:r>
              </w:p>
            </w:tc>
          </w:tr>
          <w:tr w:rsidR="009919AC" w:rsidRPr="000D4A19" w14:paraId="33B55405" w14:textId="77777777" w:rsidTr="002B24B1">
            <w:tc>
              <w:tcPr>
                <w:tcW w:w="6275" w:type="dxa"/>
              </w:tcPr>
              <w:p w14:paraId="013A59E1" w14:textId="77777777" w:rsidR="009919AC" w:rsidRPr="000D4A19" w:rsidRDefault="009919AC" w:rsidP="004B7CAB">
                <w:pPr>
                  <w:pStyle w:val="Odlomakpopisa"/>
                  <w:numPr>
                    <w:ilvl w:val="0"/>
                    <w:numId w:val="14"/>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Bodily injury (para. 2)</w:t>
                </w:r>
              </w:p>
            </w:tc>
            <w:tc>
              <w:tcPr>
                <w:tcW w:w="705" w:type="dxa"/>
              </w:tcPr>
              <w:p w14:paraId="3696B234"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3</w:t>
                </w:r>
              </w:p>
            </w:tc>
            <w:tc>
              <w:tcPr>
                <w:tcW w:w="705" w:type="dxa"/>
              </w:tcPr>
              <w:p w14:paraId="4E3F47D6"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6</w:t>
                </w:r>
              </w:p>
            </w:tc>
            <w:tc>
              <w:tcPr>
                <w:tcW w:w="704" w:type="dxa"/>
              </w:tcPr>
              <w:p w14:paraId="6CB3C4F7"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671" w:type="dxa"/>
              </w:tcPr>
              <w:p w14:paraId="47982AF8"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r>
          <w:tr w:rsidR="009919AC" w:rsidRPr="000D4A19" w14:paraId="2DC129A0" w14:textId="77777777" w:rsidTr="002B24B1">
            <w:tc>
              <w:tcPr>
                <w:tcW w:w="6275" w:type="dxa"/>
              </w:tcPr>
              <w:p w14:paraId="4E651B2F" w14:textId="77777777" w:rsidR="009919AC" w:rsidRPr="000D4A19" w:rsidRDefault="009919AC" w:rsidP="004B7CAB">
                <w:pPr>
                  <w:pStyle w:val="Odlomakpopisa"/>
                  <w:numPr>
                    <w:ilvl w:val="0"/>
                    <w:numId w:val="14"/>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Unlawful deprivation of liberty (para. 3)</w:t>
                </w:r>
              </w:p>
            </w:tc>
            <w:tc>
              <w:tcPr>
                <w:tcW w:w="705" w:type="dxa"/>
              </w:tcPr>
              <w:p w14:paraId="17D0ABF9" w14:textId="77777777" w:rsidR="009919AC" w:rsidRPr="000D4A19" w:rsidRDefault="009919AC" w:rsidP="004B7CAB">
                <w:pPr>
                  <w:jc w:val="center"/>
                  <w:rPr>
                    <w:rFonts w:eastAsiaTheme="majorEastAsia" w:cstheme="majorBidi"/>
                    <w:bCs/>
                    <w:sz w:val="20"/>
                    <w:szCs w:val="20"/>
                    <w:lang w:val="en-GB"/>
                  </w:rPr>
                </w:pPr>
              </w:p>
            </w:tc>
            <w:tc>
              <w:tcPr>
                <w:tcW w:w="705" w:type="dxa"/>
              </w:tcPr>
              <w:p w14:paraId="3B623764"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704" w:type="dxa"/>
              </w:tcPr>
              <w:p w14:paraId="41F3B931" w14:textId="77777777" w:rsidR="009919AC" w:rsidRPr="000D4A19" w:rsidRDefault="009919AC" w:rsidP="004B7CAB">
                <w:pPr>
                  <w:jc w:val="center"/>
                  <w:rPr>
                    <w:rFonts w:eastAsiaTheme="majorEastAsia" w:cstheme="majorBidi"/>
                    <w:bCs/>
                    <w:sz w:val="20"/>
                    <w:szCs w:val="20"/>
                    <w:lang w:val="en-GB"/>
                  </w:rPr>
                </w:pPr>
              </w:p>
            </w:tc>
            <w:tc>
              <w:tcPr>
                <w:tcW w:w="671" w:type="dxa"/>
              </w:tcPr>
              <w:p w14:paraId="3E1459AD" w14:textId="77777777" w:rsidR="009919AC" w:rsidRPr="000D4A19" w:rsidRDefault="009919AC" w:rsidP="004B7CAB">
                <w:pPr>
                  <w:jc w:val="center"/>
                  <w:rPr>
                    <w:rFonts w:eastAsiaTheme="majorEastAsia" w:cstheme="majorBidi"/>
                    <w:bCs/>
                    <w:sz w:val="20"/>
                    <w:szCs w:val="20"/>
                    <w:lang w:val="en-GB"/>
                  </w:rPr>
                </w:pPr>
              </w:p>
            </w:tc>
          </w:tr>
          <w:tr w:rsidR="009919AC" w:rsidRPr="000D4A19" w14:paraId="19B1592A" w14:textId="77777777" w:rsidTr="002B24B1">
            <w:tc>
              <w:tcPr>
                <w:tcW w:w="6275" w:type="dxa"/>
              </w:tcPr>
              <w:p w14:paraId="6666A88D" w14:textId="77777777" w:rsidR="009919AC" w:rsidRPr="000D4A19" w:rsidRDefault="009919AC" w:rsidP="004B7CAB">
                <w:pPr>
                  <w:pStyle w:val="Odlomakpopisa"/>
                  <w:numPr>
                    <w:ilvl w:val="0"/>
                    <w:numId w:val="14"/>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Violation of the inviolability of the home and business premises (para. 2)</w:t>
                </w:r>
              </w:p>
            </w:tc>
            <w:tc>
              <w:tcPr>
                <w:tcW w:w="705" w:type="dxa"/>
              </w:tcPr>
              <w:p w14:paraId="0B5D29BA"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705" w:type="dxa"/>
              </w:tcPr>
              <w:p w14:paraId="10168BC1" w14:textId="77777777" w:rsidR="009919AC" w:rsidRPr="000D4A19" w:rsidRDefault="009919AC" w:rsidP="004B7CAB">
                <w:pPr>
                  <w:jc w:val="center"/>
                  <w:rPr>
                    <w:rFonts w:eastAsiaTheme="majorEastAsia" w:cstheme="majorBidi"/>
                    <w:bCs/>
                    <w:sz w:val="20"/>
                    <w:szCs w:val="20"/>
                    <w:lang w:val="en-GB"/>
                  </w:rPr>
                </w:pPr>
              </w:p>
            </w:tc>
            <w:tc>
              <w:tcPr>
                <w:tcW w:w="704" w:type="dxa"/>
              </w:tcPr>
              <w:p w14:paraId="4BFC3405" w14:textId="77777777" w:rsidR="009919AC" w:rsidRPr="000D4A19" w:rsidRDefault="009919AC" w:rsidP="004B7CAB">
                <w:pPr>
                  <w:jc w:val="center"/>
                  <w:rPr>
                    <w:rFonts w:eastAsiaTheme="majorEastAsia" w:cstheme="majorBidi"/>
                    <w:bCs/>
                    <w:sz w:val="20"/>
                    <w:szCs w:val="20"/>
                    <w:lang w:val="en-GB"/>
                  </w:rPr>
                </w:pPr>
              </w:p>
            </w:tc>
            <w:tc>
              <w:tcPr>
                <w:tcW w:w="671" w:type="dxa"/>
              </w:tcPr>
              <w:p w14:paraId="2564738B" w14:textId="77777777" w:rsidR="009919AC" w:rsidRPr="000D4A19" w:rsidRDefault="009919AC" w:rsidP="004B7CAB">
                <w:pPr>
                  <w:jc w:val="center"/>
                  <w:rPr>
                    <w:rFonts w:eastAsiaTheme="majorEastAsia" w:cstheme="majorBidi"/>
                    <w:bCs/>
                    <w:sz w:val="20"/>
                    <w:szCs w:val="20"/>
                    <w:lang w:val="en-GB"/>
                  </w:rPr>
                </w:pPr>
              </w:p>
            </w:tc>
          </w:tr>
          <w:tr w:rsidR="009919AC" w:rsidRPr="000D4A19" w14:paraId="14B12392" w14:textId="77777777" w:rsidTr="002B24B1">
            <w:tc>
              <w:tcPr>
                <w:tcW w:w="6275" w:type="dxa"/>
              </w:tcPr>
              <w:p w14:paraId="43B6668A" w14:textId="77777777" w:rsidR="009919AC" w:rsidRPr="000D4A19" w:rsidRDefault="009919AC" w:rsidP="004B7CAB">
                <w:pPr>
                  <w:pStyle w:val="Odlomakpopisa"/>
                  <w:numPr>
                    <w:ilvl w:val="0"/>
                    <w:numId w:val="14"/>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 xml:space="preserve">Illegal use of personal data (para. 3) </w:t>
                </w:r>
              </w:p>
            </w:tc>
            <w:tc>
              <w:tcPr>
                <w:tcW w:w="705" w:type="dxa"/>
              </w:tcPr>
              <w:p w14:paraId="4788A482"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705" w:type="dxa"/>
              </w:tcPr>
              <w:p w14:paraId="601BEA0A"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2</w:t>
                </w:r>
              </w:p>
            </w:tc>
            <w:tc>
              <w:tcPr>
                <w:tcW w:w="704" w:type="dxa"/>
              </w:tcPr>
              <w:p w14:paraId="29EE612B" w14:textId="77777777" w:rsidR="009919AC" w:rsidRPr="000D4A19" w:rsidRDefault="009919AC" w:rsidP="004B7CAB">
                <w:pPr>
                  <w:jc w:val="center"/>
                  <w:rPr>
                    <w:rFonts w:eastAsiaTheme="majorEastAsia" w:cstheme="majorBidi"/>
                    <w:bCs/>
                    <w:sz w:val="20"/>
                    <w:szCs w:val="20"/>
                    <w:lang w:val="en-GB"/>
                  </w:rPr>
                </w:pPr>
              </w:p>
            </w:tc>
            <w:tc>
              <w:tcPr>
                <w:tcW w:w="671" w:type="dxa"/>
              </w:tcPr>
              <w:p w14:paraId="391278CD" w14:textId="77777777" w:rsidR="009919AC" w:rsidRPr="000D4A19" w:rsidRDefault="009919AC" w:rsidP="004B7CAB">
                <w:pPr>
                  <w:jc w:val="center"/>
                  <w:rPr>
                    <w:rFonts w:eastAsiaTheme="majorEastAsia" w:cstheme="majorBidi"/>
                    <w:bCs/>
                    <w:sz w:val="20"/>
                    <w:szCs w:val="20"/>
                    <w:lang w:val="en-GB"/>
                  </w:rPr>
                </w:pPr>
              </w:p>
            </w:tc>
          </w:tr>
          <w:tr w:rsidR="009919AC" w:rsidRPr="000D4A19" w14:paraId="19C59C29" w14:textId="77777777" w:rsidTr="002B24B1">
            <w:tc>
              <w:tcPr>
                <w:tcW w:w="6275" w:type="dxa"/>
              </w:tcPr>
              <w:p w14:paraId="6AAE5C5F" w14:textId="77777777" w:rsidR="009919AC" w:rsidRPr="000D4A19" w:rsidRDefault="009919AC" w:rsidP="004B7CAB">
                <w:pPr>
                  <w:pStyle w:val="Odlomakpopisa"/>
                  <w:numPr>
                    <w:ilvl w:val="0"/>
                    <w:numId w:val="14"/>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 xml:space="preserve">Unauthorised manufacturing of and trafficking in illicit drugs (para. 3) </w:t>
                </w:r>
              </w:p>
            </w:tc>
            <w:tc>
              <w:tcPr>
                <w:tcW w:w="705" w:type="dxa"/>
              </w:tcPr>
              <w:p w14:paraId="3E1A9B87"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705" w:type="dxa"/>
              </w:tcPr>
              <w:p w14:paraId="1DCD5CEB" w14:textId="77777777" w:rsidR="009919AC" w:rsidRPr="000D4A19" w:rsidRDefault="009919AC" w:rsidP="004B7CAB">
                <w:pPr>
                  <w:jc w:val="center"/>
                  <w:rPr>
                    <w:rFonts w:eastAsiaTheme="majorEastAsia" w:cstheme="majorBidi"/>
                    <w:bCs/>
                    <w:sz w:val="20"/>
                    <w:szCs w:val="20"/>
                    <w:lang w:val="en-GB"/>
                  </w:rPr>
                </w:pPr>
              </w:p>
            </w:tc>
            <w:tc>
              <w:tcPr>
                <w:tcW w:w="704" w:type="dxa"/>
              </w:tcPr>
              <w:p w14:paraId="6A7252CC" w14:textId="77777777" w:rsidR="009919AC" w:rsidRPr="000D4A19" w:rsidRDefault="009919AC" w:rsidP="004B7CAB">
                <w:pPr>
                  <w:jc w:val="center"/>
                  <w:rPr>
                    <w:rFonts w:eastAsiaTheme="majorEastAsia" w:cstheme="majorBidi"/>
                    <w:bCs/>
                    <w:sz w:val="20"/>
                    <w:szCs w:val="20"/>
                    <w:lang w:val="en-GB"/>
                  </w:rPr>
                </w:pPr>
              </w:p>
            </w:tc>
            <w:tc>
              <w:tcPr>
                <w:tcW w:w="671" w:type="dxa"/>
              </w:tcPr>
              <w:p w14:paraId="3EDF5B7D"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r>
          <w:tr w:rsidR="009919AC" w:rsidRPr="000D4A19" w14:paraId="2E1301D1" w14:textId="77777777" w:rsidTr="002B24B1">
            <w:tc>
              <w:tcPr>
                <w:tcW w:w="6275" w:type="dxa"/>
              </w:tcPr>
              <w:p w14:paraId="4D048AE3" w14:textId="77777777" w:rsidR="009919AC" w:rsidRPr="000D4A19" w:rsidRDefault="009919AC" w:rsidP="004B7CAB">
                <w:pPr>
                  <w:pStyle w:val="Odlomakpopisa"/>
                  <w:numPr>
                    <w:ilvl w:val="0"/>
                    <w:numId w:val="14"/>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 xml:space="preserve">Unauthorised performance of an official act </w:t>
                </w:r>
              </w:p>
            </w:tc>
            <w:tc>
              <w:tcPr>
                <w:tcW w:w="705" w:type="dxa"/>
              </w:tcPr>
              <w:p w14:paraId="425116EF"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705" w:type="dxa"/>
              </w:tcPr>
              <w:p w14:paraId="3BE99AF4" w14:textId="77777777" w:rsidR="009919AC" w:rsidRPr="000D4A19" w:rsidRDefault="009919AC" w:rsidP="004B7CAB">
                <w:pPr>
                  <w:jc w:val="center"/>
                  <w:rPr>
                    <w:rFonts w:eastAsiaTheme="majorEastAsia" w:cstheme="majorBidi"/>
                    <w:bCs/>
                    <w:sz w:val="20"/>
                    <w:szCs w:val="20"/>
                    <w:lang w:val="en-GB"/>
                  </w:rPr>
                </w:pPr>
              </w:p>
            </w:tc>
            <w:tc>
              <w:tcPr>
                <w:tcW w:w="704" w:type="dxa"/>
              </w:tcPr>
              <w:p w14:paraId="0BEA4B1A" w14:textId="77777777" w:rsidR="009919AC" w:rsidRPr="000D4A19" w:rsidRDefault="009919AC" w:rsidP="004B7CAB">
                <w:pPr>
                  <w:jc w:val="center"/>
                  <w:rPr>
                    <w:rFonts w:eastAsiaTheme="majorEastAsia" w:cstheme="majorBidi"/>
                    <w:bCs/>
                    <w:sz w:val="20"/>
                    <w:szCs w:val="20"/>
                    <w:lang w:val="en-GB"/>
                  </w:rPr>
                </w:pPr>
              </w:p>
            </w:tc>
            <w:tc>
              <w:tcPr>
                <w:tcW w:w="671" w:type="dxa"/>
              </w:tcPr>
              <w:p w14:paraId="364FCA5C" w14:textId="77777777" w:rsidR="009919AC" w:rsidRPr="000D4A19" w:rsidRDefault="009919AC" w:rsidP="004B7CAB">
                <w:pPr>
                  <w:jc w:val="center"/>
                  <w:rPr>
                    <w:rFonts w:eastAsiaTheme="majorEastAsia" w:cstheme="majorBidi"/>
                    <w:bCs/>
                    <w:sz w:val="20"/>
                    <w:szCs w:val="20"/>
                    <w:lang w:val="en-GB"/>
                  </w:rPr>
                </w:pPr>
              </w:p>
            </w:tc>
          </w:tr>
          <w:tr w:rsidR="009919AC" w:rsidRPr="000D4A19" w14:paraId="7E992855" w14:textId="77777777" w:rsidTr="002B24B1">
            <w:tc>
              <w:tcPr>
                <w:tcW w:w="6275" w:type="dxa"/>
              </w:tcPr>
              <w:p w14:paraId="2A3972F6" w14:textId="77777777" w:rsidR="009919AC" w:rsidRPr="000D4A19" w:rsidRDefault="009919AC" w:rsidP="004B7CAB">
                <w:pPr>
                  <w:pStyle w:val="Odlomakpopisa"/>
                  <w:numPr>
                    <w:ilvl w:val="0"/>
                    <w:numId w:val="14"/>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Aggravated theft (para. 1, item 10)</w:t>
                </w:r>
              </w:p>
            </w:tc>
            <w:tc>
              <w:tcPr>
                <w:tcW w:w="705" w:type="dxa"/>
              </w:tcPr>
              <w:p w14:paraId="78FC1E81"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705" w:type="dxa"/>
              </w:tcPr>
              <w:p w14:paraId="7B2B4494" w14:textId="77777777" w:rsidR="009919AC" w:rsidRPr="000D4A19" w:rsidRDefault="009919AC" w:rsidP="004B7CAB">
                <w:pPr>
                  <w:jc w:val="center"/>
                  <w:rPr>
                    <w:rFonts w:eastAsiaTheme="majorEastAsia" w:cstheme="majorBidi"/>
                    <w:bCs/>
                    <w:sz w:val="20"/>
                    <w:szCs w:val="20"/>
                    <w:lang w:val="en-GB"/>
                  </w:rPr>
                </w:pPr>
              </w:p>
            </w:tc>
            <w:tc>
              <w:tcPr>
                <w:tcW w:w="704" w:type="dxa"/>
              </w:tcPr>
              <w:p w14:paraId="45F2DC93" w14:textId="77777777" w:rsidR="009919AC" w:rsidRPr="000D4A19" w:rsidRDefault="009919AC" w:rsidP="004B7CAB">
                <w:pPr>
                  <w:jc w:val="center"/>
                  <w:rPr>
                    <w:rFonts w:eastAsiaTheme="majorEastAsia" w:cstheme="majorBidi"/>
                    <w:bCs/>
                    <w:sz w:val="20"/>
                    <w:szCs w:val="20"/>
                    <w:lang w:val="en-GB"/>
                  </w:rPr>
                </w:pPr>
              </w:p>
            </w:tc>
            <w:tc>
              <w:tcPr>
                <w:tcW w:w="671" w:type="dxa"/>
              </w:tcPr>
              <w:p w14:paraId="1104C228" w14:textId="77777777" w:rsidR="009919AC" w:rsidRPr="000D4A19" w:rsidRDefault="009919AC" w:rsidP="004B7CAB">
                <w:pPr>
                  <w:jc w:val="center"/>
                  <w:rPr>
                    <w:rFonts w:eastAsiaTheme="majorEastAsia" w:cstheme="majorBidi"/>
                    <w:bCs/>
                    <w:sz w:val="20"/>
                    <w:szCs w:val="20"/>
                    <w:lang w:val="en-GB"/>
                  </w:rPr>
                </w:pPr>
              </w:p>
            </w:tc>
          </w:tr>
          <w:tr w:rsidR="009919AC" w:rsidRPr="000D4A19" w14:paraId="693C0464" w14:textId="77777777" w:rsidTr="002B24B1">
            <w:tc>
              <w:tcPr>
                <w:tcW w:w="6275" w:type="dxa"/>
              </w:tcPr>
              <w:p w14:paraId="54AD40BC" w14:textId="77777777" w:rsidR="009919AC" w:rsidRPr="000D4A19" w:rsidRDefault="009919AC" w:rsidP="004B7CAB">
                <w:pPr>
                  <w:pStyle w:val="Odlomakpopisa"/>
                  <w:numPr>
                    <w:ilvl w:val="0"/>
                    <w:numId w:val="14"/>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Disclosure of an official secret</w:t>
                </w:r>
              </w:p>
            </w:tc>
            <w:tc>
              <w:tcPr>
                <w:tcW w:w="705" w:type="dxa"/>
              </w:tcPr>
              <w:p w14:paraId="15994FE1" w14:textId="77777777" w:rsidR="009919AC" w:rsidRPr="000D4A19" w:rsidRDefault="009919AC" w:rsidP="004B7CAB">
                <w:pPr>
                  <w:jc w:val="center"/>
                  <w:rPr>
                    <w:rFonts w:eastAsiaTheme="majorEastAsia" w:cstheme="majorBidi"/>
                    <w:bCs/>
                    <w:sz w:val="20"/>
                    <w:szCs w:val="20"/>
                    <w:lang w:val="en-GB"/>
                  </w:rPr>
                </w:pPr>
              </w:p>
            </w:tc>
            <w:tc>
              <w:tcPr>
                <w:tcW w:w="705" w:type="dxa"/>
              </w:tcPr>
              <w:p w14:paraId="359A2D93"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704" w:type="dxa"/>
              </w:tcPr>
              <w:p w14:paraId="76D33B23" w14:textId="77777777" w:rsidR="009919AC" w:rsidRPr="000D4A19" w:rsidRDefault="009919AC" w:rsidP="004B7CAB">
                <w:pPr>
                  <w:jc w:val="center"/>
                  <w:rPr>
                    <w:rFonts w:eastAsiaTheme="majorEastAsia" w:cstheme="majorBidi"/>
                    <w:bCs/>
                    <w:sz w:val="20"/>
                    <w:szCs w:val="20"/>
                    <w:lang w:val="en-GB"/>
                  </w:rPr>
                </w:pPr>
              </w:p>
            </w:tc>
            <w:tc>
              <w:tcPr>
                <w:tcW w:w="671" w:type="dxa"/>
              </w:tcPr>
              <w:p w14:paraId="2090ACA5" w14:textId="77777777" w:rsidR="009919AC" w:rsidRPr="000D4A19" w:rsidRDefault="009919AC" w:rsidP="004B7CAB">
                <w:pPr>
                  <w:jc w:val="center"/>
                  <w:rPr>
                    <w:rFonts w:eastAsiaTheme="majorEastAsia" w:cstheme="majorBidi"/>
                    <w:bCs/>
                    <w:sz w:val="20"/>
                    <w:szCs w:val="20"/>
                    <w:lang w:val="en-GB"/>
                  </w:rPr>
                </w:pPr>
              </w:p>
            </w:tc>
          </w:tr>
          <w:tr w:rsidR="009919AC" w:rsidRPr="000D4A19" w14:paraId="418B7399" w14:textId="77777777" w:rsidTr="002B24B1">
            <w:tc>
              <w:tcPr>
                <w:tcW w:w="6275" w:type="dxa"/>
              </w:tcPr>
              <w:p w14:paraId="3E8150FC" w14:textId="77777777" w:rsidR="009919AC" w:rsidRPr="000D4A19" w:rsidRDefault="009919AC" w:rsidP="004B7CAB">
                <w:pPr>
                  <w:pStyle w:val="Odlomakpopisa"/>
                  <w:numPr>
                    <w:ilvl w:val="0"/>
                    <w:numId w:val="14"/>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 xml:space="preserve">Obstruction of justice (para. 2) </w:t>
                </w:r>
              </w:p>
            </w:tc>
            <w:tc>
              <w:tcPr>
                <w:tcW w:w="705" w:type="dxa"/>
              </w:tcPr>
              <w:p w14:paraId="020CB987"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705" w:type="dxa"/>
              </w:tcPr>
              <w:p w14:paraId="3D362BB0" w14:textId="77777777" w:rsidR="009919AC" w:rsidRPr="000D4A19" w:rsidRDefault="009919AC" w:rsidP="004B7CAB">
                <w:pPr>
                  <w:jc w:val="center"/>
                  <w:rPr>
                    <w:rFonts w:eastAsiaTheme="majorEastAsia" w:cstheme="majorBidi"/>
                    <w:bCs/>
                    <w:sz w:val="20"/>
                    <w:szCs w:val="20"/>
                    <w:lang w:val="en-GB"/>
                  </w:rPr>
                </w:pPr>
              </w:p>
            </w:tc>
            <w:tc>
              <w:tcPr>
                <w:tcW w:w="704" w:type="dxa"/>
              </w:tcPr>
              <w:p w14:paraId="6236C8E4" w14:textId="77777777" w:rsidR="009919AC" w:rsidRPr="000D4A19" w:rsidRDefault="009919AC" w:rsidP="004B7CAB">
                <w:pPr>
                  <w:jc w:val="center"/>
                  <w:rPr>
                    <w:rFonts w:eastAsiaTheme="majorEastAsia" w:cstheme="majorBidi"/>
                    <w:bCs/>
                    <w:sz w:val="20"/>
                    <w:szCs w:val="20"/>
                    <w:lang w:val="en-GB"/>
                  </w:rPr>
                </w:pPr>
              </w:p>
            </w:tc>
            <w:tc>
              <w:tcPr>
                <w:tcW w:w="671" w:type="dxa"/>
              </w:tcPr>
              <w:p w14:paraId="6AC5CE62" w14:textId="77777777" w:rsidR="009919AC" w:rsidRPr="000D4A19" w:rsidRDefault="009919AC" w:rsidP="004B7CAB">
                <w:pPr>
                  <w:jc w:val="center"/>
                  <w:rPr>
                    <w:rFonts w:eastAsiaTheme="majorEastAsia" w:cstheme="majorBidi"/>
                    <w:bCs/>
                    <w:sz w:val="20"/>
                    <w:szCs w:val="20"/>
                    <w:lang w:val="en-GB"/>
                  </w:rPr>
                </w:pPr>
              </w:p>
            </w:tc>
          </w:tr>
          <w:tr w:rsidR="009919AC" w:rsidRPr="000D4A19" w14:paraId="34C75DAB" w14:textId="77777777" w:rsidTr="002B24B1">
            <w:tc>
              <w:tcPr>
                <w:tcW w:w="6275" w:type="dxa"/>
              </w:tcPr>
              <w:p w14:paraId="1DDE80F0" w14:textId="77777777" w:rsidR="009919AC" w:rsidRPr="000D4A19" w:rsidRDefault="009919AC" w:rsidP="004B7CAB">
                <w:pPr>
                  <w:pStyle w:val="Odlomakpopisa"/>
                  <w:numPr>
                    <w:ilvl w:val="0"/>
                    <w:numId w:val="14"/>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Insurance misuse</w:t>
                </w:r>
              </w:p>
            </w:tc>
            <w:tc>
              <w:tcPr>
                <w:tcW w:w="705" w:type="dxa"/>
              </w:tcPr>
              <w:p w14:paraId="7C052E2E" w14:textId="77777777" w:rsidR="009919AC" w:rsidRPr="000D4A19" w:rsidRDefault="009919AC" w:rsidP="004B7CAB">
                <w:pPr>
                  <w:jc w:val="center"/>
                  <w:rPr>
                    <w:rFonts w:eastAsiaTheme="majorEastAsia" w:cstheme="majorBidi"/>
                    <w:bCs/>
                    <w:sz w:val="20"/>
                    <w:szCs w:val="20"/>
                    <w:lang w:val="en-GB"/>
                  </w:rPr>
                </w:pPr>
              </w:p>
            </w:tc>
            <w:tc>
              <w:tcPr>
                <w:tcW w:w="705" w:type="dxa"/>
              </w:tcPr>
              <w:p w14:paraId="6DC9A759"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704" w:type="dxa"/>
              </w:tcPr>
              <w:p w14:paraId="6C25FF49" w14:textId="77777777" w:rsidR="009919AC" w:rsidRPr="000D4A19" w:rsidRDefault="009919AC" w:rsidP="004B7CAB">
                <w:pPr>
                  <w:jc w:val="center"/>
                  <w:rPr>
                    <w:rFonts w:eastAsiaTheme="majorEastAsia" w:cstheme="majorBidi"/>
                    <w:bCs/>
                    <w:sz w:val="20"/>
                    <w:szCs w:val="20"/>
                    <w:lang w:val="en-GB"/>
                  </w:rPr>
                </w:pPr>
              </w:p>
            </w:tc>
            <w:tc>
              <w:tcPr>
                <w:tcW w:w="671" w:type="dxa"/>
              </w:tcPr>
              <w:p w14:paraId="08BF7A66" w14:textId="77777777" w:rsidR="009919AC" w:rsidRPr="000D4A19" w:rsidRDefault="009919AC" w:rsidP="004B7CAB">
                <w:pPr>
                  <w:jc w:val="center"/>
                  <w:rPr>
                    <w:rFonts w:eastAsiaTheme="majorEastAsia" w:cstheme="majorBidi"/>
                    <w:bCs/>
                    <w:sz w:val="20"/>
                    <w:szCs w:val="20"/>
                    <w:lang w:val="en-GB"/>
                  </w:rPr>
                </w:pPr>
              </w:p>
            </w:tc>
          </w:tr>
          <w:tr w:rsidR="009919AC" w:rsidRPr="000D4A19" w14:paraId="0E1FD2BB" w14:textId="77777777" w:rsidTr="002B24B1">
            <w:tc>
              <w:tcPr>
                <w:tcW w:w="6275" w:type="dxa"/>
              </w:tcPr>
              <w:p w14:paraId="5F612EF4" w14:textId="77777777" w:rsidR="009919AC" w:rsidRPr="000D4A19" w:rsidRDefault="009919AC" w:rsidP="004B7CAB">
                <w:pPr>
                  <w:pStyle w:val="Odlomakpopisa"/>
                  <w:numPr>
                    <w:ilvl w:val="0"/>
                    <w:numId w:val="14"/>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Abuse of trust in business dealings</w:t>
                </w:r>
              </w:p>
            </w:tc>
            <w:tc>
              <w:tcPr>
                <w:tcW w:w="705" w:type="dxa"/>
              </w:tcPr>
              <w:p w14:paraId="2E532B92" w14:textId="77777777" w:rsidR="009919AC" w:rsidRPr="000D4A19" w:rsidRDefault="009919AC" w:rsidP="004B7CAB">
                <w:pPr>
                  <w:jc w:val="center"/>
                  <w:rPr>
                    <w:rFonts w:eastAsiaTheme="majorEastAsia" w:cstheme="majorBidi"/>
                    <w:bCs/>
                    <w:sz w:val="20"/>
                    <w:szCs w:val="20"/>
                    <w:lang w:val="en-GB"/>
                  </w:rPr>
                </w:pPr>
              </w:p>
            </w:tc>
            <w:tc>
              <w:tcPr>
                <w:tcW w:w="705" w:type="dxa"/>
              </w:tcPr>
              <w:p w14:paraId="47BB4D37"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704" w:type="dxa"/>
              </w:tcPr>
              <w:p w14:paraId="778E1443" w14:textId="77777777" w:rsidR="009919AC" w:rsidRPr="000D4A19" w:rsidRDefault="009919AC" w:rsidP="004B7CAB">
                <w:pPr>
                  <w:jc w:val="center"/>
                  <w:rPr>
                    <w:rFonts w:eastAsiaTheme="majorEastAsia" w:cstheme="majorBidi"/>
                    <w:bCs/>
                    <w:sz w:val="20"/>
                    <w:szCs w:val="20"/>
                    <w:lang w:val="en-GB"/>
                  </w:rPr>
                </w:pPr>
              </w:p>
            </w:tc>
            <w:tc>
              <w:tcPr>
                <w:tcW w:w="671" w:type="dxa"/>
              </w:tcPr>
              <w:p w14:paraId="20AC5404" w14:textId="77777777" w:rsidR="009919AC" w:rsidRPr="000D4A19" w:rsidRDefault="009919AC" w:rsidP="004B7CAB">
                <w:pPr>
                  <w:jc w:val="center"/>
                  <w:rPr>
                    <w:rFonts w:eastAsiaTheme="majorEastAsia" w:cstheme="majorBidi"/>
                    <w:bCs/>
                    <w:sz w:val="20"/>
                    <w:szCs w:val="20"/>
                    <w:lang w:val="en-GB"/>
                  </w:rPr>
                </w:pPr>
              </w:p>
            </w:tc>
          </w:tr>
          <w:tr w:rsidR="009919AC" w:rsidRPr="000D4A19" w14:paraId="27942379" w14:textId="77777777" w:rsidTr="002B24B1">
            <w:tc>
              <w:tcPr>
                <w:tcW w:w="6275" w:type="dxa"/>
              </w:tcPr>
              <w:p w14:paraId="75E40907" w14:textId="77777777" w:rsidR="009919AC" w:rsidRPr="000D4A19" w:rsidRDefault="009919AC" w:rsidP="004B7CAB">
                <w:pPr>
                  <w:pStyle w:val="Odlomakpopisa"/>
                  <w:numPr>
                    <w:ilvl w:val="0"/>
                    <w:numId w:val="14"/>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Forging official or business documents</w:t>
                </w:r>
              </w:p>
            </w:tc>
            <w:tc>
              <w:tcPr>
                <w:tcW w:w="705" w:type="dxa"/>
              </w:tcPr>
              <w:p w14:paraId="483B3B1E"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7</w:t>
                </w:r>
              </w:p>
            </w:tc>
            <w:tc>
              <w:tcPr>
                <w:tcW w:w="705" w:type="dxa"/>
              </w:tcPr>
              <w:p w14:paraId="2357C531"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4</w:t>
                </w:r>
              </w:p>
            </w:tc>
            <w:tc>
              <w:tcPr>
                <w:tcW w:w="704" w:type="dxa"/>
              </w:tcPr>
              <w:p w14:paraId="7934B3BA"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7</w:t>
                </w:r>
              </w:p>
            </w:tc>
            <w:tc>
              <w:tcPr>
                <w:tcW w:w="671" w:type="dxa"/>
              </w:tcPr>
              <w:p w14:paraId="75DFD8FC"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8</w:t>
                </w:r>
              </w:p>
            </w:tc>
          </w:tr>
          <w:tr w:rsidR="009919AC" w:rsidRPr="000D4A19" w14:paraId="0D5A4F02" w14:textId="77777777" w:rsidTr="002B24B1">
            <w:tc>
              <w:tcPr>
                <w:tcW w:w="6275" w:type="dxa"/>
              </w:tcPr>
              <w:p w14:paraId="7921B065" w14:textId="77777777" w:rsidR="009919AC" w:rsidRPr="000D4A19" w:rsidRDefault="009919AC" w:rsidP="004B7CAB">
                <w:pPr>
                  <w:pStyle w:val="Odlomakpopisa"/>
                  <w:numPr>
                    <w:ilvl w:val="0"/>
                    <w:numId w:val="14"/>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Failure to report the commission of a criminal offence</w:t>
                </w:r>
              </w:p>
            </w:tc>
            <w:tc>
              <w:tcPr>
                <w:tcW w:w="705" w:type="dxa"/>
              </w:tcPr>
              <w:p w14:paraId="1C7911EC" w14:textId="77777777" w:rsidR="009919AC" w:rsidRPr="000D4A19" w:rsidRDefault="009919AC" w:rsidP="004B7CAB">
                <w:pPr>
                  <w:jc w:val="center"/>
                  <w:rPr>
                    <w:rFonts w:eastAsiaTheme="majorEastAsia" w:cstheme="majorBidi"/>
                    <w:bCs/>
                    <w:sz w:val="20"/>
                    <w:szCs w:val="20"/>
                    <w:lang w:val="en-GB"/>
                  </w:rPr>
                </w:pPr>
              </w:p>
            </w:tc>
            <w:tc>
              <w:tcPr>
                <w:tcW w:w="705" w:type="dxa"/>
              </w:tcPr>
              <w:p w14:paraId="6BB14EB1" w14:textId="77777777" w:rsidR="009919AC" w:rsidRPr="000D4A19" w:rsidRDefault="009919AC" w:rsidP="004B7CAB">
                <w:pPr>
                  <w:jc w:val="center"/>
                  <w:rPr>
                    <w:rFonts w:eastAsiaTheme="majorEastAsia" w:cstheme="majorBidi"/>
                    <w:bCs/>
                    <w:sz w:val="20"/>
                    <w:szCs w:val="20"/>
                    <w:lang w:val="en-GB"/>
                  </w:rPr>
                </w:pPr>
              </w:p>
            </w:tc>
            <w:tc>
              <w:tcPr>
                <w:tcW w:w="704" w:type="dxa"/>
              </w:tcPr>
              <w:p w14:paraId="0C24D2D7" w14:textId="77777777" w:rsidR="009919AC" w:rsidRPr="000D4A19" w:rsidRDefault="009919AC" w:rsidP="004B7CAB">
                <w:pPr>
                  <w:jc w:val="center"/>
                  <w:rPr>
                    <w:rFonts w:eastAsiaTheme="majorEastAsia" w:cstheme="majorBidi"/>
                    <w:bCs/>
                    <w:sz w:val="20"/>
                    <w:szCs w:val="20"/>
                    <w:lang w:val="en-GB"/>
                  </w:rPr>
                </w:pPr>
              </w:p>
            </w:tc>
            <w:tc>
              <w:tcPr>
                <w:tcW w:w="671" w:type="dxa"/>
              </w:tcPr>
              <w:p w14:paraId="7BB9435D"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r>
          <w:tr w:rsidR="009919AC" w:rsidRPr="00D245DB" w14:paraId="4181C72F" w14:textId="77777777" w:rsidTr="002B24B1">
            <w:tc>
              <w:tcPr>
                <w:tcW w:w="6275" w:type="dxa"/>
              </w:tcPr>
              <w:p w14:paraId="5C95BBE4" w14:textId="77777777" w:rsidR="009919AC" w:rsidRPr="000D4A19" w:rsidRDefault="009919AC" w:rsidP="004B7CAB">
                <w:pPr>
                  <w:pStyle w:val="Odlomakpopisa"/>
                  <w:numPr>
                    <w:ilvl w:val="0"/>
                    <w:numId w:val="14"/>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Taking or destroying an official seal or official document</w:t>
                </w:r>
              </w:p>
            </w:tc>
            <w:tc>
              <w:tcPr>
                <w:tcW w:w="705" w:type="dxa"/>
              </w:tcPr>
              <w:p w14:paraId="7756148F" w14:textId="77777777" w:rsidR="009919AC" w:rsidRPr="000D4A19" w:rsidRDefault="009919AC" w:rsidP="004B7CAB">
                <w:pPr>
                  <w:jc w:val="center"/>
                  <w:rPr>
                    <w:rFonts w:eastAsiaTheme="majorEastAsia" w:cstheme="majorBidi"/>
                    <w:bCs/>
                    <w:sz w:val="20"/>
                    <w:szCs w:val="20"/>
                    <w:lang w:val="en-GB"/>
                  </w:rPr>
                </w:pPr>
              </w:p>
            </w:tc>
            <w:tc>
              <w:tcPr>
                <w:tcW w:w="705" w:type="dxa"/>
              </w:tcPr>
              <w:p w14:paraId="3C5FA005" w14:textId="77777777" w:rsidR="009919AC" w:rsidRPr="000D4A19" w:rsidRDefault="009919AC" w:rsidP="004B7CAB">
                <w:pPr>
                  <w:jc w:val="center"/>
                  <w:rPr>
                    <w:rFonts w:eastAsiaTheme="majorEastAsia" w:cstheme="majorBidi"/>
                    <w:bCs/>
                    <w:sz w:val="20"/>
                    <w:szCs w:val="20"/>
                    <w:lang w:val="en-GB"/>
                  </w:rPr>
                </w:pPr>
              </w:p>
            </w:tc>
            <w:tc>
              <w:tcPr>
                <w:tcW w:w="704" w:type="dxa"/>
              </w:tcPr>
              <w:p w14:paraId="3B8AB336" w14:textId="77777777" w:rsidR="009919AC" w:rsidRPr="000D4A19" w:rsidRDefault="009919AC" w:rsidP="004B7CAB">
                <w:pPr>
                  <w:jc w:val="center"/>
                  <w:rPr>
                    <w:rFonts w:eastAsiaTheme="majorEastAsia" w:cstheme="majorBidi"/>
                    <w:bCs/>
                    <w:sz w:val="20"/>
                    <w:szCs w:val="20"/>
                    <w:lang w:val="en-GB"/>
                  </w:rPr>
                </w:pPr>
              </w:p>
            </w:tc>
            <w:tc>
              <w:tcPr>
                <w:tcW w:w="671" w:type="dxa"/>
              </w:tcPr>
              <w:p w14:paraId="5309FED3" w14:textId="77777777" w:rsidR="009919AC" w:rsidRPr="000D4A19" w:rsidRDefault="009919AC" w:rsidP="004B7CAB">
                <w:pPr>
                  <w:jc w:val="center"/>
                  <w:rPr>
                    <w:rFonts w:eastAsiaTheme="majorEastAsia" w:cstheme="majorBidi"/>
                    <w:bCs/>
                    <w:sz w:val="20"/>
                    <w:szCs w:val="20"/>
                    <w:lang w:val="en-GB"/>
                  </w:rPr>
                </w:pPr>
              </w:p>
            </w:tc>
          </w:tr>
          <w:tr w:rsidR="009919AC" w:rsidRPr="000D4A19" w14:paraId="21221478" w14:textId="77777777" w:rsidTr="002B24B1">
            <w:tc>
              <w:tcPr>
                <w:tcW w:w="6275" w:type="dxa"/>
              </w:tcPr>
              <w:p w14:paraId="2AC32A72" w14:textId="77777777" w:rsidR="009919AC" w:rsidRPr="000D4A19" w:rsidRDefault="009919AC" w:rsidP="004B7CAB">
                <w:pPr>
                  <w:pStyle w:val="Odlomakpopisa"/>
                  <w:numPr>
                    <w:ilvl w:val="0"/>
                    <w:numId w:val="14"/>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 xml:space="preserve">Extortion of testimony (Art. 297, para. 1) </w:t>
                </w:r>
              </w:p>
            </w:tc>
            <w:tc>
              <w:tcPr>
                <w:tcW w:w="705" w:type="dxa"/>
              </w:tcPr>
              <w:p w14:paraId="1C401F1F" w14:textId="77777777" w:rsidR="009919AC" w:rsidRPr="000D4A19" w:rsidRDefault="009919AC" w:rsidP="004B7CAB">
                <w:pPr>
                  <w:jc w:val="center"/>
                  <w:rPr>
                    <w:rFonts w:eastAsiaTheme="majorEastAsia" w:cstheme="majorBidi"/>
                    <w:bCs/>
                    <w:sz w:val="20"/>
                    <w:szCs w:val="20"/>
                    <w:lang w:val="en-GB"/>
                  </w:rPr>
                </w:pPr>
              </w:p>
            </w:tc>
            <w:tc>
              <w:tcPr>
                <w:tcW w:w="705" w:type="dxa"/>
              </w:tcPr>
              <w:p w14:paraId="62F6BB95"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c>
              <w:tcPr>
                <w:tcW w:w="704" w:type="dxa"/>
              </w:tcPr>
              <w:p w14:paraId="2E871C5F" w14:textId="77777777" w:rsidR="009919AC" w:rsidRPr="000D4A19" w:rsidRDefault="009919AC" w:rsidP="004B7CAB">
                <w:pPr>
                  <w:jc w:val="center"/>
                  <w:rPr>
                    <w:rFonts w:eastAsiaTheme="majorEastAsia" w:cstheme="majorBidi"/>
                    <w:bCs/>
                    <w:sz w:val="20"/>
                    <w:szCs w:val="20"/>
                    <w:lang w:val="en-GB"/>
                  </w:rPr>
                </w:pPr>
              </w:p>
            </w:tc>
            <w:tc>
              <w:tcPr>
                <w:tcW w:w="671" w:type="dxa"/>
              </w:tcPr>
              <w:p w14:paraId="105828CE" w14:textId="77777777" w:rsidR="009919AC" w:rsidRPr="000D4A19" w:rsidRDefault="009919AC" w:rsidP="004B7CAB">
                <w:pPr>
                  <w:jc w:val="center"/>
                  <w:rPr>
                    <w:rFonts w:eastAsiaTheme="majorEastAsia" w:cstheme="majorBidi"/>
                    <w:bCs/>
                    <w:sz w:val="20"/>
                    <w:szCs w:val="20"/>
                    <w:lang w:val="en-GB"/>
                  </w:rPr>
                </w:pPr>
                <w:r w:rsidRPr="000D4A19">
                  <w:rPr>
                    <w:rFonts w:eastAsiaTheme="majorEastAsia" w:cstheme="majorBidi"/>
                    <w:bCs/>
                    <w:sz w:val="20"/>
                    <w:szCs w:val="20"/>
                    <w:lang w:val="en-GB"/>
                  </w:rPr>
                  <w:t>1</w:t>
                </w:r>
              </w:p>
            </w:tc>
          </w:tr>
          <w:tr w:rsidR="009919AC" w:rsidRPr="000D4A19" w14:paraId="08C60E04" w14:textId="77777777" w:rsidTr="002B24B1">
            <w:tc>
              <w:tcPr>
                <w:tcW w:w="6275" w:type="dxa"/>
                <w:tcBorders>
                  <w:bottom w:val="single" w:sz="4" w:space="0" w:color="auto"/>
                </w:tcBorders>
              </w:tcPr>
              <w:p w14:paraId="33780AD3" w14:textId="77777777" w:rsidR="009919AC" w:rsidRPr="000D4A19" w:rsidRDefault="009919AC" w:rsidP="004B7CAB">
                <w:pPr>
                  <w:pStyle w:val="Odlomakpopisa"/>
                  <w:numPr>
                    <w:ilvl w:val="0"/>
                    <w:numId w:val="14"/>
                  </w:numPr>
                  <w:ind w:left="284" w:hanging="142"/>
                  <w:rPr>
                    <w:rFonts w:eastAsiaTheme="majorEastAsia" w:cstheme="majorBidi"/>
                    <w:bCs/>
                    <w:i/>
                    <w:sz w:val="20"/>
                    <w:szCs w:val="20"/>
                    <w:lang w:val="en-GB"/>
                  </w:rPr>
                </w:pPr>
                <w:r w:rsidRPr="000D4A19">
                  <w:rPr>
                    <w:rFonts w:eastAsiaTheme="majorEastAsia" w:cstheme="majorBidi"/>
                    <w:bCs/>
                    <w:i/>
                    <w:sz w:val="20"/>
                    <w:szCs w:val="20"/>
                    <w:lang w:val="en-GB"/>
                  </w:rPr>
                  <w:t xml:space="preserve">Unlawful entry into, movement and stay in Croatia (para. 2) </w:t>
                </w:r>
              </w:p>
            </w:tc>
            <w:tc>
              <w:tcPr>
                <w:tcW w:w="705" w:type="dxa"/>
                <w:tcBorders>
                  <w:bottom w:val="single" w:sz="4" w:space="0" w:color="auto"/>
                </w:tcBorders>
              </w:tcPr>
              <w:p w14:paraId="1F440238" w14:textId="77777777" w:rsidR="009919AC" w:rsidRPr="000D4A19" w:rsidRDefault="009919AC" w:rsidP="004B7CAB">
                <w:pPr>
                  <w:jc w:val="center"/>
                  <w:rPr>
                    <w:rFonts w:eastAsiaTheme="majorEastAsia" w:cstheme="majorBidi"/>
                    <w:bCs/>
                    <w:sz w:val="20"/>
                    <w:szCs w:val="20"/>
                    <w:lang w:val="en-GB"/>
                  </w:rPr>
                </w:pPr>
              </w:p>
            </w:tc>
            <w:tc>
              <w:tcPr>
                <w:tcW w:w="705" w:type="dxa"/>
                <w:tcBorders>
                  <w:bottom w:val="single" w:sz="4" w:space="0" w:color="auto"/>
                </w:tcBorders>
              </w:tcPr>
              <w:p w14:paraId="0F15CF5A" w14:textId="77777777" w:rsidR="009919AC" w:rsidRPr="000D4A19" w:rsidRDefault="009919AC" w:rsidP="004B7CAB">
                <w:pPr>
                  <w:jc w:val="center"/>
                  <w:rPr>
                    <w:rFonts w:eastAsiaTheme="majorEastAsia" w:cstheme="majorBidi"/>
                    <w:bCs/>
                    <w:sz w:val="20"/>
                    <w:szCs w:val="20"/>
                    <w:lang w:val="en-GB"/>
                  </w:rPr>
                </w:pPr>
              </w:p>
            </w:tc>
            <w:tc>
              <w:tcPr>
                <w:tcW w:w="704" w:type="dxa"/>
                <w:tcBorders>
                  <w:bottom w:val="single" w:sz="4" w:space="0" w:color="auto"/>
                </w:tcBorders>
              </w:tcPr>
              <w:p w14:paraId="52C05B3A" w14:textId="77777777" w:rsidR="009919AC" w:rsidRPr="000D4A19" w:rsidRDefault="009919AC" w:rsidP="004B7CAB">
                <w:pPr>
                  <w:jc w:val="center"/>
                  <w:rPr>
                    <w:rFonts w:eastAsiaTheme="majorEastAsia" w:cstheme="majorBidi"/>
                    <w:bCs/>
                    <w:sz w:val="20"/>
                    <w:szCs w:val="20"/>
                    <w:lang w:val="en-GB"/>
                  </w:rPr>
                </w:pPr>
              </w:p>
            </w:tc>
            <w:tc>
              <w:tcPr>
                <w:tcW w:w="671" w:type="dxa"/>
                <w:tcBorders>
                  <w:bottom w:val="single" w:sz="4" w:space="0" w:color="auto"/>
                </w:tcBorders>
              </w:tcPr>
              <w:p w14:paraId="3878AE5E" w14:textId="77777777" w:rsidR="009919AC" w:rsidRPr="000D4A19" w:rsidRDefault="009919AC" w:rsidP="004B7CAB">
                <w:pPr>
                  <w:jc w:val="center"/>
                  <w:rPr>
                    <w:rFonts w:eastAsiaTheme="majorEastAsia" w:cstheme="majorBidi"/>
                    <w:bCs/>
                    <w:sz w:val="20"/>
                    <w:szCs w:val="20"/>
                    <w:lang w:val="en-GB"/>
                  </w:rPr>
                </w:pPr>
              </w:p>
            </w:tc>
          </w:tr>
          <w:tr w:rsidR="009919AC" w:rsidRPr="000D4A19" w14:paraId="3056B5DD" w14:textId="77777777" w:rsidTr="002B24B1">
            <w:tc>
              <w:tcPr>
                <w:tcW w:w="6275" w:type="dxa"/>
                <w:shd w:val="pct15" w:color="auto" w:fill="auto"/>
              </w:tcPr>
              <w:p w14:paraId="67D236C4" w14:textId="77777777" w:rsidR="009919AC" w:rsidRPr="000D4A19" w:rsidRDefault="009919AC" w:rsidP="004B7CAB">
                <w:pPr>
                  <w:pStyle w:val="Odlomakpopisa"/>
                  <w:ind w:left="0"/>
                  <w:rPr>
                    <w:rFonts w:eastAsiaTheme="majorEastAsia" w:cstheme="majorBidi"/>
                    <w:b/>
                    <w:bCs/>
                    <w:sz w:val="20"/>
                    <w:szCs w:val="20"/>
                    <w:lang w:val="en-GB"/>
                  </w:rPr>
                </w:pPr>
                <w:r w:rsidRPr="000D4A19">
                  <w:rPr>
                    <w:rFonts w:eastAsiaTheme="majorEastAsia" w:cstheme="majorBidi"/>
                    <w:b/>
                    <w:bCs/>
                    <w:sz w:val="20"/>
                    <w:szCs w:val="20"/>
                    <w:lang w:val="en-GB"/>
                  </w:rPr>
                  <w:t xml:space="preserve">TOTAL </w:t>
                </w:r>
              </w:p>
            </w:tc>
            <w:tc>
              <w:tcPr>
                <w:tcW w:w="705" w:type="dxa"/>
                <w:shd w:val="pct15" w:color="auto" w:fill="auto"/>
              </w:tcPr>
              <w:p w14:paraId="068BE13C" w14:textId="77777777" w:rsidR="009919AC" w:rsidRPr="000D4A19" w:rsidRDefault="009919AC" w:rsidP="004B7CAB">
                <w:pPr>
                  <w:jc w:val="center"/>
                  <w:rPr>
                    <w:rFonts w:eastAsiaTheme="majorEastAsia" w:cstheme="majorBidi"/>
                    <w:b/>
                    <w:bCs/>
                    <w:sz w:val="20"/>
                    <w:szCs w:val="20"/>
                    <w:lang w:val="en-GB"/>
                  </w:rPr>
                </w:pPr>
                <w:r w:rsidRPr="000D4A19">
                  <w:rPr>
                    <w:rFonts w:eastAsiaTheme="majorEastAsia" w:cstheme="majorBidi"/>
                    <w:b/>
                    <w:bCs/>
                    <w:sz w:val="20"/>
                    <w:szCs w:val="20"/>
                    <w:lang w:val="en-GB"/>
                  </w:rPr>
                  <w:t>76</w:t>
                </w:r>
              </w:p>
            </w:tc>
            <w:tc>
              <w:tcPr>
                <w:tcW w:w="705" w:type="dxa"/>
                <w:shd w:val="pct15" w:color="auto" w:fill="auto"/>
              </w:tcPr>
              <w:p w14:paraId="3F4C8114" w14:textId="77777777" w:rsidR="009919AC" w:rsidRPr="000D4A19" w:rsidRDefault="009919AC" w:rsidP="004B7CAB">
                <w:pPr>
                  <w:jc w:val="center"/>
                  <w:rPr>
                    <w:rFonts w:eastAsiaTheme="majorEastAsia" w:cstheme="majorBidi"/>
                    <w:b/>
                    <w:bCs/>
                    <w:sz w:val="20"/>
                    <w:szCs w:val="20"/>
                    <w:lang w:val="en-GB"/>
                  </w:rPr>
                </w:pPr>
                <w:r w:rsidRPr="000D4A19">
                  <w:rPr>
                    <w:rFonts w:eastAsiaTheme="majorEastAsia" w:cstheme="majorBidi"/>
                    <w:b/>
                    <w:bCs/>
                    <w:sz w:val="20"/>
                    <w:szCs w:val="20"/>
                    <w:lang w:val="en-GB"/>
                  </w:rPr>
                  <w:t>53</w:t>
                </w:r>
              </w:p>
            </w:tc>
            <w:tc>
              <w:tcPr>
                <w:tcW w:w="704" w:type="dxa"/>
                <w:shd w:val="pct15" w:color="auto" w:fill="auto"/>
              </w:tcPr>
              <w:p w14:paraId="7500C4A3" w14:textId="77777777" w:rsidR="009919AC" w:rsidRPr="000D4A19" w:rsidRDefault="009919AC" w:rsidP="004B7CAB">
                <w:pPr>
                  <w:jc w:val="center"/>
                  <w:rPr>
                    <w:rFonts w:eastAsiaTheme="majorEastAsia" w:cstheme="majorBidi"/>
                    <w:b/>
                    <w:bCs/>
                    <w:sz w:val="20"/>
                    <w:szCs w:val="20"/>
                    <w:lang w:val="en-GB"/>
                  </w:rPr>
                </w:pPr>
                <w:r w:rsidRPr="000D4A19">
                  <w:rPr>
                    <w:rFonts w:eastAsiaTheme="majorEastAsia" w:cstheme="majorBidi"/>
                    <w:b/>
                    <w:bCs/>
                    <w:sz w:val="20"/>
                    <w:szCs w:val="20"/>
                    <w:lang w:val="en-GB"/>
                  </w:rPr>
                  <w:t>21</w:t>
                </w:r>
              </w:p>
            </w:tc>
            <w:tc>
              <w:tcPr>
                <w:tcW w:w="671" w:type="dxa"/>
                <w:shd w:val="pct15" w:color="auto" w:fill="auto"/>
              </w:tcPr>
              <w:p w14:paraId="3984A264" w14:textId="77777777" w:rsidR="009919AC" w:rsidRPr="000D4A19" w:rsidRDefault="009919AC" w:rsidP="004B7CAB">
                <w:pPr>
                  <w:jc w:val="center"/>
                  <w:rPr>
                    <w:rFonts w:eastAsiaTheme="majorEastAsia" w:cstheme="majorBidi"/>
                    <w:b/>
                    <w:bCs/>
                    <w:sz w:val="20"/>
                    <w:szCs w:val="20"/>
                    <w:lang w:val="en-GB"/>
                  </w:rPr>
                </w:pPr>
                <w:r w:rsidRPr="000D4A19">
                  <w:rPr>
                    <w:rFonts w:eastAsiaTheme="majorEastAsia" w:cstheme="majorBidi"/>
                    <w:b/>
                    <w:bCs/>
                    <w:sz w:val="20"/>
                    <w:szCs w:val="20"/>
                    <w:lang w:val="en-GB"/>
                  </w:rPr>
                  <w:t>25</w:t>
                </w:r>
              </w:p>
            </w:tc>
          </w:tr>
        </w:tbl>
        <w:p w14:paraId="098BA978" w14:textId="77777777" w:rsidR="009919AC" w:rsidRPr="000D4A19" w:rsidRDefault="009919AC" w:rsidP="004B7CAB">
          <w:pPr>
            <w:spacing w:after="0" w:line="240" w:lineRule="auto"/>
            <w:jc w:val="both"/>
            <w:rPr>
              <w:rFonts w:eastAsiaTheme="majorEastAsia" w:cstheme="majorBidi"/>
              <w:bCs/>
              <w:sz w:val="24"/>
              <w:szCs w:val="24"/>
              <w:highlight w:val="yellow"/>
              <w:lang w:val="en-GB"/>
            </w:rPr>
          </w:pPr>
        </w:p>
        <w:p w14:paraId="4DF10D53" w14:textId="720C1FD1" w:rsidR="007B6AD3" w:rsidRPr="000D4A19" w:rsidRDefault="00E31A6F" w:rsidP="004B7CAB">
          <w:pPr>
            <w:spacing w:after="0" w:line="240" w:lineRule="auto"/>
            <w:rPr>
              <w:sz w:val="24"/>
              <w:szCs w:val="24"/>
              <w:lang w:val="en-GB"/>
            </w:rPr>
          </w:pPr>
          <w:r w:rsidRPr="000D4A19">
            <w:rPr>
              <w:sz w:val="24"/>
              <w:szCs w:val="24"/>
              <w:lang w:val="en-GB"/>
            </w:rPr>
            <w:br w:type="page"/>
          </w:r>
        </w:p>
      </w:sdtContent>
    </w:sdt>
    <w:p w14:paraId="339913DA" w14:textId="77777777" w:rsidR="00A910A1" w:rsidRPr="000D4A19" w:rsidRDefault="00A910A1" w:rsidP="004B7CAB">
      <w:pPr>
        <w:pStyle w:val="Naslov1"/>
        <w:keepNext w:val="0"/>
        <w:keepLines w:val="0"/>
        <w:spacing w:before="0" w:line="240" w:lineRule="auto"/>
        <w:rPr>
          <w:rFonts w:asciiTheme="minorHAnsi" w:hAnsiTheme="minorHAnsi"/>
          <w:sz w:val="24"/>
          <w:szCs w:val="24"/>
          <w:lang w:val="en-GB"/>
        </w:rPr>
      </w:pPr>
      <w:bookmarkStart w:id="256" w:name="_Toc25229353"/>
      <w:r w:rsidRPr="000D4A19">
        <w:rPr>
          <w:rFonts w:asciiTheme="minorHAnsi" w:hAnsiTheme="minorHAnsi"/>
          <w:color w:val="auto"/>
          <w:sz w:val="24"/>
          <w:szCs w:val="24"/>
          <w:lang w:val="en-GB"/>
        </w:rPr>
        <w:t>VI.</w:t>
      </w:r>
      <w:r w:rsidRPr="000D4A19">
        <w:rPr>
          <w:rFonts w:asciiTheme="minorHAnsi" w:hAnsiTheme="minorHAnsi"/>
          <w:color w:val="auto"/>
          <w:sz w:val="24"/>
          <w:szCs w:val="24"/>
          <w:lang w:val="en-GB"/>
        </w:rPr>
        <w:tab/>
      </w:r>
      <w:r w:rsidRPr="000D4A19">
        <w:rPr>
          <w:rFonts w:asciiTheme="minorHAnsi" w:hAnsiTheme="minorHAnsi"/>
          <w:color w:val="auto"/>
          <w:sz w:val="24"/>
          <w:szCs w:val="24"/>
          <w:u w:val="single"/>
          <w:lang w:val="en-GB"/>
        </w:rPr>
        <w:t>RECOMMENDATIONS AND FOLLOW-UP</w:t>
      </w:r>
      <w:bookmarkEnd w:id="256"/>
    </w:p>
    <w:sdt>
      <w:sdtPr>
        <w:rPr>
          <w:lang w:val="en-GB"/>
        </w:rPr>
        <w:tag w:val="{CE7F891E-0809-4F21-A7AC-57AF28DAAA24}"/>
        <w:id w:val="-2045040304"/>
        <w:lock w:val="sdtLocked"/>
      </w:sdtPr>
      <w:sdtEndPr/>
      <w:sdtContent>
        <w:p w14:paraId="129B5EDA" w14:textId="77777777" w:rsidR="001533B7" w:rsidRPr="000D4A19" w:rsidRDefault="001533B7" w:rsidP="004B7CAB">
          <w:pPr>
            <w:spacing w:after="0" w:line="240" w:lineRule="auto"/>
            <w:jc w:val="both"/>
            <w:rPr>
              <w:rFonts w:cstheme="minorHAnsi"/>
              <w:sz w:val="24"/>
              <w:szCs w:val="24"/>
              <w:lang w:val="en-GB"/>
            </w:rPr>
          </w:pPr>
        </w:p>
        <w:p w14:paraId="6D927DB3" w14:textId="77777777" w:rsidR="00A910A1" w:rsidRPr="000D4A19" w:rsidRDefault="00A910A1" w:rsidP="00532108">
          <w:pPr>
            <w:numPr>
              <w:ilvl w:val="0"/>
              <w:numId w:val="1"/>
            </w:numPr>
            <w:tabs>
              <w:tab w:val="num" w:pos="720"/>
            </w:tabs>
            <w:spacing w:after="0" w:line="240" w:lineRule="auto"/>
            <w:ind w:left="0" w:firstLine="0"/>
            <w:jc w:val="both"/>
            <w:rPr>
              <w:rFonts w:cstheme="minorHAnsi"/>
              <w:sz w:val="24"/>
              <w:szCs w:val="24"/>
              <w:lang w:val="en-GB"/>
            </w:rPr>
          </w:pPr>
          <w:r w:rsidRPr="000D4A19">
            <w:rPr>
              <w:sz w:val="24"/>
              <w:szCs w:val="24"/>
              <w:lang w:val="en-GB"/>
            </w:rPr>
            <w:t xml:space="preserve">In view </w:t>
          </w:r>
          <w:r w:rsidRPr="000D4A19">
            <w:rPr>
              <w:rFonts w:cstheme="minorHAnsi"/>
              <w:sz w:val="24"/>
              <w:szCs w:val="24"/>
              <w:lang w:val="en-GB"/>
            </w:rPr>
            <w:t>of</w:t>
          </w:r>
          <w:r w:rsidRPr="000D4A19">
            <w:rPr>
              <w:sz w:val="24"/>
              <w:szCs w:val="24"/>
              <w:lang w:val="en-GB"/>
            </w:rPr>
            <w:t xml:space="preserve"> the findings of the present report, GRECO addresses the following recommendations to </w:t>
          </w:r>
          <w:r w:rsidR="009919AC" w:rsidRPr="000D4A19">
            <w:rPr>
              <w:sz w:val="24"/>
              <w:szCs w:val="24"/>
              <w:lang w:val="en-GB"/>
            </w:rPr>
            <w:t>Croatia</w:t>
          </w:r>
          <w:r w:rsidRPr="000D4A19">
            <w:rPr>
              <w:sz w:val="24"/>
              <w:szCs w:val="24"/>
              <w:lang w:val="en-GB"/>
            </w:rPr>
            <w:t xml:space="preserve">: </w:t>
          </w:r>
        </w:p>
        <w:p w14:paraId="27ED382F" w14:textId="77777777" w:rsidR="00EE01D0" w:rsidRPr="000D4A19" w:rsidRDefault="00EE01D0" w:rsidP="004B7CAB">
          <w:pPr>
            <w:tabs>
              <w:tab w:val="left" w:pos="709"/>
            </w:tabs>
            <w:spacing w:after="0" w:line="240" w:lineRule="auto"/>
            <w:ind w:left="567" w:hanging="567"/>
            <w:jc w:val="both"/>
            <w:rPr>
              <w:sz w:val="24"/>
              <w:szCs w:val="24"/>
              <w:lang w:val="en-GB"/>
            </w:rPr>
          </w:pPr>
        </w:p>
        <w:p w14:paraId="52913C2A" w14:textId="77777777" w:rsidR="00A910A1" w:rsidRPr="000D4A19" w:rsidRDefault="00A910A1" w:rsidP="004B7CAB">
          <w:pPr>
            <w:spacing w:after="0" w:line="240" w:lineRule="auto"/>
            <w:ind w:left="426" w:hanging="426"/>
            <w:jc w:val="both"/>
            <w:rPr>
              <w:i/>
              <w:sz w:val="24"/>
              <w:szCs w:val="24"/>
              <w:lang w:val="en-GB"/>
            </w:rPr>
          </w:pPr>
          <w:r w:rsidRPr="000D4A19">
            <w:rPr>
              <w:i/>
              <w:sz w:val="24"/>
              <w:szCs w:val="24"/>
              <w:lang w:val="en-GB"/>
            </w:rPr>
            <w:tab/>
            <w:t>Regarding central governments (top executive functions)</w:t>
          </w:r>
        </w:p>
        <w:p w14:paraId="28BDEFFA" w14:textId="77777777" w:rsidR="00A910A1" w:rsidRPr="000D4A19" w:rsidRDefault="00A910A1" w:rsidP="008A65E0">
          <w:pPr>
            <w:tabs>
              <w:tab w:val="left" w:pos="709"/>
            </w:tabs>
            <w:spacing w:after="0" w:line="240" w:lineRule="auto"/>
            <w:ind w:left="567" w:hanging="567"/>
            <w:jc w:val="both"/>
            <w:rPr>
              <w:i/>
              <w:sz w:val="24"/>
              <w:szCs w:val="24"/>
              <w:lang w:val="en-GB"/>
            </w:rPr>
          </w:pPr>
        </w:p>
        <w:p w14:paraId="6DF94937" w14:textId="77777777" w:rsidR="005678AB" w:rsidRPr="00866FBF" w:rsidRDefault="005678AB" w:rsidP="005678AB">
          <w:pPr>
            <w:pStyle w:val="Odlomakpopisa"/>
            <w:numPr>
              <w:ilvl w:val="0"/>
              <w:numId w:val="27"/>
            </w:numPr>
            <w:spacing w:after="160" w:line="259" w:lineRule="auto"/>
            <w:ind w:left="851" w:hanging="491"/>
            <w:jc w:val="both"/>
            <w:rPr>
              <w:lang w:val="en-US"/>
            </w:rPr>
          </w:pPr>
          <w:r w:rsidRPr="00866FBF">
            <w:rPr>
              <w:rFonts w:cstheme="minorHAnsi"/>
              <w:b/>
              <w:sz w:val="24"/>
              <w:szCs w:val="24"/>
              <w:lang w:val="en-GB"/>
            </w:rPr>
            <w:t>that the legal status, recruitment and obligations of special advisers and others working in an advisory capacity for the government be regulated, ensuring that they undergo an integrity check upon selection, that their names, functions and possible remuneration (for the tasks they carry out for the government) are made public and that appropriate regulations on conflicts of interest and use of confidential information apply to them</w:t>
          </w:r>
          <w:r>
            <w:rPr>
              <w:rFonts w:cstheme="minorHAnsi"/>
              <w:b/>
              <w:sz w:val="24"/>
              <w:szCs w:val="24"/>
              <w:lang w:val="en-GB"/>
            </w:rPr>
            <w:t xml:space="preserve"> </w:t>
          </w:r>
          <w:r w:rsidRPr="00866FBF">
            <w:rPr>
              <w:rFonts w:cstheme="minorHAnsi"/>
              <w:sz w:val="24"/>
              <w:szCs w:val="24"/>
              <w:lang w:val="en-GB"/>
            </w:rPr>
            <w:t>(paragraph 29)</w:t>
          </w:r>
          <w:r>
            <w:rPr>
              <w:rFonts w:cstheme="minorHAnsi"/>
              <w:b/>
              <w:sz w:val="24"/>
              <w:szCs w:val="24"/>
              <w:lang w:val="en-GB"/>
            </w:rPr>
            <w:t>;</w:t>
          </w:r>
        </w:p>
        <w:p w14:paraId="0F7AA1EB" w14:textId="77777777" w:rsidR="005678AB" w:rsidRPr="00866FBF" w:rsidRDefault="005678AB" w:rsidP="005678AB">
          <w:pPr>
            <w:pStyle w:val="Odlomakpopisa"/>
            <w:jc w:val="both"/>
            <w:rPr>
              <w:lang w:val="en-US"/>
            </w:rPr>
          </w:pPr>
        </w:p>
        <w:p w14:paraId="6EA26D3D" w14:textId="77777777" w:rsidR="005678AB" w:rsidRPr="00866FBF" w:rsidRDefault="005678AB" w:rsidP="005678AB">
          <w:pPr>
            <w:pStyle w:val="Odlomakpopisa"/>
            <w:numPr>
              <w:ilvl w:val="0"/>
              <w:numId w:val="27"/>
            </w:numPr>
            <w:spacing w:after="160" w:line="259" w:lineRule="auto"/>
            <w:ind w:left="851" w:hanging="491"/>
            <w:jc w:val="both"/>
            <w:rPr>
              <w:lang w:val="en-US"/>
            </w:rPr>
          </w:pPr>
          <w:r w:rsidRPr="000D4A19">
            <w:rPr>
              <w:rFonts w:cstheme="minorHAnsi"/>
              <w:b/>
              <w:sz w:val="24"/>
              <w:szCs w:val="24"/>
              <w:lang w:val="en-GB"/>
            </w:rPr>
            <w:t xml:space="preserve">(i) that a code of conduct for persons with top executive functions be adopted, complemented with clear guidance regarding conflicts of interest and other integrity-related matters (e.g. gifts, outside activities, third party contacts, post-employment restrictions, </w:t>
          </w:r>
          <w:r>
            <w:rPr>
              <w:rFonts w:cstheme="minorHAnsi"/>
              <w:b/>
              <w:sz w:val="24"/>
              <w:szCs w:val="24"/>
              <w:lang w:val="en-GB"/>
            </w:rPr>
            <w:t>financial</w:t>
          </w:r>
          <w:r w:rsidRPr="000D4A19">
            <w:rPr>
              <w:rFonts w:cstheme="minorHAnsi"/>
              <w:b/>
              <w:sz w:val="24"/>
              <w:szCs w:val="24"/>
              <w:lang w:val="en-GB"/>
            </w:rPr>
            <w:t xml:space="preserve"> declarations, handling of confidential information etc.) and (ii) that such a code be coupled with a mechanism of supervision and enforcement</w:t>
          </w:r>
          <w:r>
            <w:rPr>
              <w:rFonts w:cstheme="minorHAnsi"/>
              <w:b/>
              <w:sz w:val="24"/>
              <w:szCs w:val="24"/>
              <w:lang w:val="en-GB"/>
            </w:rPr>
            <w:t xml:space="preserve"> </w:t>
          </w:r>
          <w:r w:rsidRPr="00866FBF">
            <w:rPr>
              <w:rFonts w:cstheme="minorHAnsi"/>
              <w:sz w:val="24"/>
              <w:szCs w:val="24"/>
              <w:lang w:val="en-GB"/>
            </w:rPr>
            <w:t xml:space="preserve">(paragraph </w:t>
          </w:r>
          <w:r>
            <w:rPr>
              <w:rFonts w:cstheme="minorHAnsi"/>
              <w:sz w:val="24"/>
              <w:szCs w:val="24"/>
              <w:lang w:val="en-GB"/>
            </w:rPr>
            <w:t>41</w:t>
          </w:r>
          <w:r w:rsidRPr="00866FBF">
            <w:rPr>
              <w:rFonts w:cstheme="minorHAnsi"/>
              <w:sz w:val="24"/>
              <w:szCs w:val="24"/>
              <w:lang w:val="en-GB"/>
            </w:rPr>
            <w:t>)</w:t>
          </w:r>
          <w:r>
            <w:rPr>
              <w:rFonts w:cstheme="minorHAnsi"/>
              <w:b/>
              <w:sz w:val="24"/>
              <w:szCs w:val="24"/>
              <w:lang w:val="en-GB"/>
            </w:rPr>
            <w:t>;</w:t>
          </w:r>
        </w:p>
        <w:p w14:paraId="6845B831" w14:textId="77777777" w:rsidR="005678AB" w:rsidRPr="00866FBF" w:rsidRDefault="005678AB" w:rsidP="005678AB">
          <w:pPr>
            <w:pStyle w:val="Odlomakpopisa"/>
            <w:jc w:val="both"/>
            <w:rPr>
              <w:lang w:val="en-US"/>
            </w:rPr>
          </w:pPr>
        </w:p>
        <w:p w14:paraId="55B81388" w14:textId="77777777" w:rsidR="005678AB" w:rsidRPr="00866FBF" w:rsidRDefault="005678AB" w:rsidP="005678AB">
          <w:pPr>
            <w:pStyle w:val="Odlomakpopisa"/>
            <w:numPr>
              <w:ilvl w:val="0"/>
              <w:numId w:val="27"/>
            </w:numPr>
            <w:spacing w:after="160" w:line="259" w:lineRule="auto"/>
            <w:ind w:left="851" w:hanging="491"/>
            <w:jc w:val="both"/>
            <w:rPr>
              <w:lang w:val="en-US"/>
            </w:rPr>
          </w:pPr>
          <w:r w:rsidRPr="002B24B1">
            <w:rPr>
              <w:rFonts w:cstheme="minorHAnsi"/>
              <w:b/>
              <w:sz w:val="24"/>
              <w:szCs w:val="24"/>
              <w:lang w:val="en-GB"/>
            </w:rPr>
            <w:t>that (i) systemic briefings on integrity issues be imparted to persons with top executive functions upon taking up their positions and at certain intervals thereafter and ii) confidential counselling on integrity issues be established for them</w:t>
          </w:r>
          <w:r>
            <w:rPr>
              <w:rFonts w:cstheme="minorHAnsi"/>
              <w:b/>
              <w:sz w:val="24"/>
              <w:szCs w:val="24"/>
              <w:lang w:val="en-GB"/>
            </w:rPr>
            <w:t xml:space="preserve"> </w:t>
          </w:r>
          <w:r w:rsidRPr="00866FBF">
            <w:rPr>
              <w:rFonts w:cstheme="minorHAnsi"/>
              <w:sz w:val="24"/>
              <w:szCs w:val="24"/>
              <w:lang w:val="en-GB"/>
            </w:rPr>
            <w:t xml:space="preserve">(paragraph </w:t>
          </w:r>
          <w:r>
            <w:rPr>
              <w:rFonts w:cstheme="minorHAnsi"/>
              <w:sz w:val="24"/>
              <w:szCs w:val="24"/>
              <w:lang w:val="en-GB"/>
            </w:rPr>
            <w:t>46</w:t>
          </w:r>
          <w:r w:rsidRPr="00866FBF">
            <w:rPr>
              <w:rFonts w:cstheme="minorHAnsi"/>
              <w:sz w:val="24"/>
              <w:szCs w:val="24"/>
              <w:lang w:val="en-GB"/>
            </w:rPr>
            <w:t>)</w:t>
          </w:r>
          <w:r>
            <w:rPr>
              <w:rFonts w:cstheme="minorHAnsi"/>
              <w:b/>
              <w:sz w:val="24"/>
              <w:szCs w:val="24"/>
              <w:lang w:val="en-GB"/>
            </w:rPr>
            <w:t>;</w:t>
          </w:r>
        </w:p>
        <w:p w14:paraId="11D2192F" w14:textId="77777777" w:rsidR="005678AB" w:rsidRPr="00866FBF" w:rsidRDefault="005678AB" w:rsidP="005678AB">
          <w:pPr>
            <w:pStyle w:val="Odlomakpopisa"/>
            <w:jc w:val="both"/>
            <w:rPr>
              <w:lang w:val="en-US"/>
            </w:rPr>
          </w:pPr>
        </w:p>
        <w:p w14:paraId="441CCC35" w14:textId="77777777" w:rsidR="005678AB" w:rsidRPr="00866FBF" w:rsidRDefault="005678AB" w:rsidP="005678AB">
          <w:pPr>
            <w:pStyle w:val="Odlomakpopisa"/>
            <w:numPr>
              <w:ilvl w:val="0"/>
              <w:numId w:val="27"/>
            </w:numPr>
            <w:spacing w:after="160" w:line="259" w:lineRule="auto"/>
            <w:ind w:left="851" w:hanging="491"/>
            <w:jc w:val="both"/>
            <w:rPr>
              <w:lang w:val="en-US"/>
            </w:rPr>
          </w:pPr>
          <w:r w:rsidRPr="000D4A19">
            <w:rPr>
              <w:rFonts w:cstheme="minorHAnsi"/>
              <w:b/>
              <w:sz w:val="24"/>
              <w:szCs w:val="24"/>
              <w:lang w:val="en-GB"/>
            </w:rPr>
            <w:t>that measures be taken to strengthen the enforcement of decisions adopted by the Information Commissioner in accordance with the Law on the Right of Access to Information</w:t>
          </w:r>
          <w:r>
            <w:rPr>
              <w:rFonts w:cstheme="minorHAnsi"/>
              <w:b/>
              <w:sz w:val="24"/>
              <w:szCs w:val="24"/>
              <w:lang w:val="en-GB"/>
            </w:rPr>
            <w:t xml:space="preserve"> </w:t>
          </w:r>
          <w:r w:rsidRPr="00866FBF">
            <w:rPr>
              <w:rFonts w:cstheme="minorHAnsi"/>
              <w:sz w:val="24"/>
              <w:szCs w:val="24"/>
              <w:lang w:val="en-GB"/>
            </w:rPr>
            <w:t xml:space="preserve">(paragraph </w:t>
          </w:r>
          <w:r>
            <w:rPr>
              <w:rFonts w:cstheme="minorHAnsi"/>
              <w:sz w:val="24"/>
              <w:szCs w:val="24"/>
              <w:lang w:val="en-GB"/>
            </w:rPr>
            <w:t>51</w:t>
          </w:r>
          <w:r w:rsidRPr="00866FBF">
            <w:rPr>
              <w:rFonts w:cstheme="minorHAnsi"/>
              <w:sz w:val="24"/>
              <w:szCs w:val="24"/>
              <w:lang w:val="en-GB"/>
            </w:rPr>
            <w:t>)</w:t>
          </w:r>
          <w:r>
            <w:rPr>
              <w:rFonts w:cstheme="minorHAnsi"/>
              <w:b/>
              <w:sz w:val="24"/>
              <w:szCs w:val="24"/>
              <w:lang w:val="en-GB"/>
            </w:rPr>
            <w:t>;</w:t>
          </w:r>
        </w:p>
        <w:p w14:paraId="1FD2E692" w14:textId="77777777" w:rsidR="005678AB" w:rsidRPr="00866FBF" w:rsidRDefault="005678AB" w:rsidP="005678AB">
          <w:pPr>
            <w:pStyle w:val="Odlomakpopisa"/>
            <w:jc w:val="both"/>
            <w:rPr>
              <w:lang w:val="en-US"/>
            </w:rPr>
          </w:pPr>
        </w:p>
        <w:p w14:paraId="78E4364B" w14:textId="77777777" w:rsidR="005678AB" w:rsidRPr="00866FBF" w:rsidRDefault="005678AB" w:rsidP="005678AB">
          <w:pPr>
            <w:pStyle w:val="Odlomakpopisa"/>
            <w:numPr>
              <w:ilvl w:val="0"/>
              <w:numId w:val="27"/>
            </w:numPr>
            <w:spacing w:after="160" w:line="259" w:lineRule="auto"/>
            <w:ind w:left="851" w:hanging="491"/>
            <w:jc w:val="both"/>
            <w:rPr>
              <w:lang w:val="en-US"/>
            </w:rPr>
          </w:pPr>
          <w:r w:rsidRPr="000D4A19">
            <w:rPr>
              <w:rFonts w:cstheme="minorHAnsi"/>
              <w:b/>
              <w:sz w:val="24"/>
              <w:szCs w:val="24"/>
              <w:lang w:val="en-GB"/>
            </w:rPr>
            <w:t>that (i) rules be introduced on how persons entrusted with top executive functions engage in contacts with lobbyists and other third parties who seek to influence governmental legislative and other activities; and (ii) sufficient information about the purpose of these contacts be disclosed, such as the identity of the person(s) with whom (or on whose behalf) the meeting(s) took place and the specific subject matter(s) of the discussion</w:t>
          </w:r>
          <w:r>
            <w:rPr>
              <w:rFonts w:cstheme="minorHAnsi"/>
              <w:b/>
              <w:sz w:val="24"/>
              <w:szCs w:val="24"/>
              <w:lang w:val="en-GB"/>
            </w:rPr>
            <w:t xml:space="preserve"> </w:t>
          </w:r>
          <w:r w:rsidRPr="00866FBF">
            <w:rPr>
              <w:rFonts w:cstheme="minorHAnsi"/>
              <w:sz w:val="24"/>
              <w:szCs w:val="24"/>
              <w:lang w:val="en-GB"/>
            </w:rPr>
            <w:t xml:space="preserve">(paragraph </w:t>
          </w:r>
          <w:r>
            <w:rPr>
              <w:rFonts w:cstheme="minorHAnsi"/>
              <w:sz w:val="24"/>
              <w:szCs w:val="24"/>
              <w:lang w:val="en-GB"/>
            </w:rPr>
            <w:t>53</w:t>
          </w:r>
          <w:r w:rsidRPr="00866FBF">
            <w:rPr>
              <w:rFonts w:cstheme="minorHAnsi"/>
              <w:sz w:val="24"/>
              <w:szCs w:val="24"/>
              <w:lang w:val="en-GB"/>
            </w:rPr>
            <w:t>)</w:t>
          </w:r>
          <w:r>
            <w:rPr>
              <w:rFonts w:cstheme="minorHAnsi"/>
              <w:b/>
              <w:sz w:val="24"/>
              <w:szCs w:val="24"/>
              <w:lang w:val="en-GB"/>
            </w:rPr>
            <w:t>;</w:t>
          </w:r>
        </w:p>
        <w:p w14:paraId="6603D17B" w14:textId="77777777" w:rsidR="005678AB" w:rsidRPr="00866FBF" w:rsidRDefault="005678AB" w:rsidP="005678AB">
          <w:pPr>
            <w:pStyle w:val="Odlomakpopisa"/>
            <w:jc w:val="both"/>
            <w:rPr>
              <w:lang w:val="en-US"/>
            </w:rPr>
          </w:pPr>
        </w:p>
        <w:p w14:paraId="3B884DCD" w14:textId="77777777" w:rsidR="005678AB" w:rsidRPr="00866FBF" w:rsidRDefault="005678AB" w:rsidP="005678AB">
          <w:pPr>
            <w:pStyle w:val="Odlomakpopisa"/>
            <w:numPr>
              <w:ilvl w:val="0"/>
              <w:numId w:val="27"/>
            </w:numPr>
            <w:spacing w:after="160" w:line="259" w:lineRule="auto"/>
            <w:ind w:left="851" w:hanging="491"/>
            <w:jc w:val="both"/>
            <w:rPr>
              <w:lang w:val="en-US"/>
            </w:rPr>
          </w:pPr>
          <w:r w:rsidRPr="000D4A19">
            <w:rPr>
              <w:rFonts w:eastAsia="Times New Roman" w:cs="RijksoverheidSerif-Regular"/>
              <w:b/>
              <w:sz w:val="24"/>
              <w:szCs w:val="24"/>
              <w:lang w:val="en-GB" w:eastAsia="en-GB"/>
            </w:rPr>
            <w:t>that</w:t>
          </w:r>
          <w:r w:rsidRPr="000D4A19">
            <w:rPr>
              <w:rFonts w:eastAsia="Times New Roman" w:cs="RijksoverheidSerif-Regular"/>
              <w:sz w:val="24"/>
              <w:szCs w:val="24"/>
              <w:lang w:val="en-GB" w:eastAsia="en-GB"/>
            </w:rPr>
            <w:t xml:space="preserve"> </w:t>
          </w:r>
          <w:r w:rsidRPr="000D4A19">
            <w:rPr>
              <w:rFonts w:eastAsia="Times New Roman" w:cs="Verdana,Bold"/>
              <w:b/>
              <w:bCs/>
              <w:sz w:val="24"/>
              <w:szCs w:val="24"/>
              <w:lang w:val="en-GB" w:eastAsia="en-GB"/>
            </w:rPr>
            <w:t xml:space="preserve">a requirement of </w:t>
          </w:r>
          <w:r w:rsidRPr="000D4A19">
            <w:rPr>
              <w:rFonts w:eastAsia="Times New Roman" w:cs="Verdana,BoldItalic"/>
              <w:b/>
              <w:bCs/>
              <w:i/>
              <w:iCs/>
              <w:sz w:val="24"/>
              <w:szCs w:val="24"/>
              <w:lang w:val="en-GB" w:eastAsia="en-GB"/>
            </w:rPr>
            <w:t xml:space="preserve">ad hoc </w:t>
          </w:r>
          <w:r w:rsidRPr="000D4A19">
            <w:rPr>
              <w:rFonts w:eastAsia="Times New Roman" w:cs="Verdana,Bold"/>
              <w:b/>
              <w:bCs/>
              <w:sz w:val="24"/>
              <w:szCs w:val="24"/>
              <w:lang w:val="en-GB" w:eastAsia="en-GB"/>
            </w:rPr>
            <w:t xml:space="preserve">disclosure be introduced in respect of persons </w:t>
          </w:r>
          <w:r w:rsidRPr="005678AB">
            <w:rPr>
              <w:rFonts w:cstheme="minorHAnsi"/>
              <w:b/>
              <w:sz w:val="24"/>
              <w:szCs w:val="24"/>
              <w:lang w:val="en-GB"/>
            </w:rPr>
            <w:t>entrusted</w:t>
          </w:r>
          <w:r w:rsidRPr="000D4A19">
            <w:rPr>
              <w:rFonts w:eastAsia="Times New Roman" w:cs="Verdana,Bold"/>
              <w:b/>
              <w:bCs/>
              <w:sz w:val="24"/>
              <w:szCs w:val="24"/>
              <w:lang w:val="en-GB" w:eastAsia="en-GB"/>
            </w:rPr>
            <w:t xml:space="preserve"> with top executive functions in situations of conflicts between private interests and official functions, when they occur</w:t>
          </w:r>
          <w:r>
            <w:rPr>
              <w:rFonts w:eastAsia="Times New Roman" w:cs="Verdana,Bold"/>
              <w:b/>
              <w:bCs/>
              <w:sz w:val="24"/>
              <w:szCs w:val="24"/>
              <w:lang w:val="en-GB" w:eastAsia="en-GB"/>
            </w:rPr>
            <w:t xml:space="preserve"> </w:t>
          </w:r>
          <w:r w:rsidRPr="00866FBF">
            <w:rPr>
              <w:rFonts w:cstheme="minorHAnsi"/>
              <w:sz w:val="24"/>
              <w:szCs w:val="24"/>
              <w:lang w:val="en-GB"/>
            </w:rPr>
            <w:t xml:space="preserve">(paragraph </w:t>
          </w:r>
          <w:r>
            <w:rPr>
              <w:rFonts w:cstheme="minorHAnsi"/>
              <w:sz w:val="24"/>
              <w:szCs w:val="24"/>
              <w:lang w:val="en-GB"/>
            </w:rPr>
            <w:t>65</w:t>
          </w:r>
          <w:r w:rsidRPr="00866FBF">
            <w:rPr>
              <w:rFonts w:cstheme="minorHAnsi"/>
              <w:sz w:val="24"/>
              <w:szCs w:val="24"/>
              <w:lang w:val="en-GB"/>
            </w:rPr>
            <w:t>)</w:t>
          </w:r>
          <w:r>
            <w:rPr>
              <w:rFonts w:cstheme="minorHAnsi"/>
              <w:b/>
              <w:sz w:val="24"/>
              <w:szCs w:val="24"/>
              <w:lang w:val="en-GB"/>
            </w:rPr>
            <w:t>;</w:t>
          </w:r>
        </w:p>
        <w:p w14:paraId="771D7D72" w14:textId="77777777" w:rsidR="005678AB" w:rsidRPr="00866FBF" w:rsidRDefault="005678AB" w:rsidP="005678AB">
          <w:pPr>
            <w:pStyle w:val="Odlomakpopisa"/>
            <w:jc w:val="both"/>
            <w:rPr>
              <w:lang w:val="en-US"/>
            </w:rPr>
          </w:pPr>
        </w:p>
        <w:p w14:paraId="416285A9" w14:textId="77777777" w:rsidR="005678AB" w:rsidRPr="00866FBF" w:rsidRDefault="005678AB" w:rsidP="005678AB">
          <w:pPr>
            <w:pStyle w:val="Odlomakpopisa"/>
            <w:numPr>
              <w:ilvl w:val="0"/>
              <w:numId w:val="27"/>
            </w:numPr>
            <w:spacing w:after="160" w:line="259" w:lineRule="auto"/>
            <w:ind w:left="851" w:hanging="491"/>
            <w:jc w:val="both"/>
            <w:rPr>
              <w:lang w:val="en-US"/>
            </w:rPr>
          </w:pPr>
          <w:r w:rsidRPr="000D4A19">
            <w:rPr>
              <w:rFonts w:cs="Calibri"/>
              <w:b/>
              <w:sz w:val="24"/>
              <w:szCs w:val="24"/>
              <w:lang w:val="en-GB"/>
            </w:rPr>
            <w:t xml:space="preserve">that post-employment restrictions be broadened in </w:t>
          </w:r>
          <w:r>
            <w:rPr>
              <w:rFonts w:cs="Calibri"/>
              <w:b/>
              <w:sz w:val="24"/>
              <w:szCs w:val="24"/>
              <w:lang w:val="en-GB"/>
            </w:rPr>
            <w:t xml:space="preserve">scope in </w:t>
          </w:r>
          <w:r w:rsidRPr="000D4A19">
            <w:rPr>
              <w:rFonts w:cs="Calibri"/>
              <w:b/>
              <w:sz w:val="24"/>
              <w:szCs w:val="24"/>
              <w:lang w:val="en-GB"/>
            </w:rPr>
            <w:t xml:space="preserve">respect of persons with top </w:t>
          </w:r>
          <w:r w:rsidRPr="005678AB">
            <w:rPr>
              <w:rFonts w:cstheme="minorHAnsi"/>
              <w:b/>
              <w:sz w:val="24"/>
              <w:szCs w:val="24"/>
              <w:lang w:val="en-GB"/>
            </w:rPr>
            <w:t>executive</w:t>
          </w:r>
          <w:r w:rsidRPr="000D4A19">
            <w:rPr>
              <w:rFonts w:cs="Calibri"/>
              <w:b/>
              <w:sz w:val="24"/>
              <w:szCs w:val="24"/>
              <w:lang w:val="en-GB"/>
            </w:rPr>
            <w:t xml:space="preserve"> functions</w:t>
          </w:r>
          <w:r>
            <w:rPr>
              <w:rFonts w:cs="Calibri"/>
              <w:b/>
              <w:sz w:val="24"/>
              <w:szCs w:val="24"/>
              <w:lang w:val="en-GB"/>
            </w:rPr>
            <w:t xml:space="preserve"> </w:t>
          </w:r>
          <w:r w:rsidRPr="00866FBF">
            <w:rPr>
              <w:rFonts w:cstheme="minorHAnsi"/>
              <w:sz w:val="24"/>
              <w:szCs w:val="24"/>
              <w:lang w:val="en-GB"/>
            </w:rPr>
            <w:t xml:space="preserve">(paragraph </w:t>
          </w:r>
          <w:r>
            <w:rPr>
              <w:rFonts w:cstheme="minorHAnsi"/>
              <w:sz w:val="24"/>
              <w:szCs w:val="24"/>
              <w:lang w:val="en-GB"/>
            </w:rPr>
            <w:t>78</w:t>
          </w:r>
          <w:r w:rsidRPr="00866FBF">
            <w:rPr>
              <w:rFonts w:cstheme="minorHAnsi"/>
              <w:sz w:val="24"/>
              <w:szCs w:val="24"/>
              <w:lang w:val="en-GB"/>
            </w:rPr>
            <w:t>)</w:t>
          </w:r>
          <w:r>
            <w:rPr>
              <w:rFonts w:cstheme="minorHAnsi"/>
              <w:b/>
              <w:sz w:val="24"/>
              <w:szCs w:val="24"/>
              <w:lang w:val="en-GB"/>
            </w:rPr>
            <w:t>;</w:t>
          </w:r>
        </w:p>
        <w:p w14:paraId="7BAE78FC" w14:textId="77777777" w:rsidR="005678AB" w:rsidRPr="00866FBF" w:rsidRDefault="005678AB" w:rsidP="005678AB">
          <w:pPr>
            <w:pStyle w:val="Odlomakpopisa"/>
            <w:jc w:val="both"/>
            <w:rPr>
              <w:lang w:val="en-US"/>
            </w:rPr>
          </w:pPr>
        </w:p>
        <w:p w14:paraId="6F645E85" w14:textId="77777777" w:rsidR="005678AB" w:rsidRPr="00866FBF" w:rsidRDefault="005678AB" w:rsidP="005678AB">
          <w:pPr>
            <w:pStyle w:val="Odlomakpopisa"/>
            <w:numPr>
              <w:ilvl w:val="0"/>
              <w:numId w:val="27"/>
            </w:numPr>
            <w:spacing w:after="160" w:line="259" w:lineRule="auto"/>
            <w:ind w:left="851" w:hanging="491"/>
            <w:jc w:val="both"/>
            <w:rPr>
              <w:lang w:val="en-US"/>
            </w:rPr>
          </w:pPr>
          <w:r>
            <w:rPr>
              <w:rFonts w:cs="Calibri"/>
              <w:b/>
              <w:sz w:val="24"/>
              <w:szCs w:val="24"/>
              <w:lang w:val="en-GB"/>
            </w:rPr>
            <w:t xml:space="preserve"> </w:t>
          </w:r>
          <w:r w:rsidRPr="003B5013">
            <w:rPr>
              <w:rFonts w:cs="Calibri"/>
              <w:b/>
              <w:sz w:val="24"/>
              <w:szCs w:val="24"/>
              <w:lang w:val="en-GB"/>
            </w:rPr>
            <w:t xml:space="preserve">obliging persons with top executive functions to submit </w:t>
          </w:r>
          <w:r>
            <w:rPr>
              <w:rFonts w:cs="Calibri"/>
              <w:b/>
              <w:sz w:val="24"/>
              <w:szCs w:val="24"/>
              <w:lang w:val="en-GB"/>
            </w:rPr>
            <w:t xml:space="preserve">their </w:t>
          </w:r>
          <w:r w:rsidRPr="003B5013">
            <w:rPr>
              <w:rFonts w:cs="Calibri"/>
              <w:b/>
              <w:sz w:val="24"/>
              <w:szCs w:val="24"/>
              <w:lang w:val="en-GB"/>
            </w:rPr>
            <w:t xml:space="preserve">financial declaration </w:t>
          </w:r>
          <w:r>
            <w:rPr>
              <w:rFonts w:cs="Calibri"/>
              <w:b/>
              <w:sz w:val="24"/>
              <w:szCs w:val="24"/>
              <w:lang w:val="en-GB"/>
            </w:rPr>
            <w:t xml:space="preserve">to the Commission for the Prevention of Conflicts of Interest </w:t>
          </w:r>
          <w:r w:rsidRPr="003B5013">
            <w:rPr>
              <w:rFonts w:cs="Calibri"/>
              <w:b/>
              <w:sz w:val="24"/>
              <w:szCs w:val="24"/>
              <w:lang w:val="en-GB"/>
            </w:rPr>
            <w:t>on an annual basis</w:t>
          </w:r>
          <w:r>
            <w:rPr>
              <w:rFonts w:cs="Calibri"/>
              <w:b/>
              <w:sz w:val="24"/>
              <w:szCs w:val="24"/>
              <w:lang w:val="en-GB"/>
            </w:rPr>
            <w:t xml:space="preserve"> </w:t>
          </w:r>
          <w:r w:rsidRPr="00866FBF">
            <w:rPr>
              <w:rFonts w:cstheme="minorHAnsi"/>
              <w:sz w:val="24"/>
              <w:szCs w:val="24"/>
              <w:lang w:val="en-GB"/>
            </w:rPr>
            <w:t xml:space="preserve">(paragraph </w:t>
          </w:r>
          <w:r>
            <w:rPr>
              <w:rFonts w:cstheme="minorHAnsi"/>
              <w:sz w:val="24"/>
              <w:szCs w:val="24"/>
              <w:lang w:val="en-GB"/>
            </w:rPr>
            <w:t>82</w:t>
          </w:r>
          <w:r w:rsidRPr="00866FBF">
            <w:rPr>
              <w:rFonts w:cstheme="minorHAnsi"/>
              <w:sz w:val="24"/>
              <w:szCs w:val="24"/>
              <w:lang w:val="en-GB"/>
            </w:rPr>
            <w:t>)</w:t>
          </w:r>
          <w:r>
            <w:rPr>
              <w:rFonts w:cstheme="minorHAnsi"/>
              <w:b/>
              <w:sz w:val="24"/>
              <w:szCs w:val="24"/>
              <w:lang w:val="en-GB"/>
            </w:rPr>
            <w:t>;</w:t>
          </w:r>
        </w:p>
        <w:p w14:paraId="788B01A2" w14:textId="77777777" w:rsidR="005678AB" w:rsidRPr="00866FBF" w:rsidRDefault="005678AB" w:rsidP="005678AB">
          <w:pPr>
            <w:pStyle w:val="Odlomakpopisa"/>
            <w:jc w:val="both"/>
            <w:rPr>
              <w:lang w:val="en-US"/>
            </w:rPr>
          </w:pPr>
        </w:p>
        <w:p w14:paraId="07CAA4A8" w14:textId="77777777" w:rsidR="005678AB" w:rsidRPr="00866FBF" w:rsidRDefault="005678AB" w:rsidP="005678AB">
          <w:pPr>
            <w:pStyle w:val="Odlomakpopisa"/>
            <w:numPr>
              <w:ilvl w:val="0"/>
              <w:numId w:val="27"/>
            </w:numPr>
            <w:spacing w:after="160" w:line="259" w:lineRule="auto"/>
            <w:ind w:left="851" w:hanging="491"/>
            <w:jc w:val="both"/>
            <w:rPr>
              <w:lang w:val="en-US"/>
            </w:rPr>
          </w:pPr>
          <w:r w:rsidRPr="000D4A19">
            <w:rPr>
              <w:rFonts w:cs="Calibri"/>
              <w:b/>
              <w:sz w:val="24"/>
              <w:szCs w:val="24"/>
              <w:lang w:val="en-GB"/>
            </w:rPr>
            <w:t xml:space="preserve">further </w:t>
          </w:r>
          <w:r>
            <w:rPr>
              <w:rFonts w:cs="Calibri"/>
              <w:b/>
              <w:sz w:val="24"/>
              <w:szCs w:val="24"/>
              <w:lang w:val="en-GB"/>
            </w:rPr>
            <w:t>improving</w:t>
          </w:r>
          <w:r w:rsidRPr="000D4A19">
            <w:rPr>
              <w:rFonts w:cs="Calibri"/>
              <w:b/>
              <w:sz w:val="24"/>
              <w:szCs w:val="24"/>
              <w:lang w:val="en-GB"/>
            </w:rPr>
            <w:t xml:space="preserve"> possibilities for the Commission for the Prevention of Conflicts of Interest to obtain information necessary for the verification of </w:t>
          </w:r>
          <w:r>
            <w:rPr>
              <w:rFonts w:cs="Calibri"/>
              <w:b/>
              <w:sz w:val="24"/>
              <w:szCs w:val="24"/>
              <w:lang w:val="en-GB"/>
            </w:rPr>
            <w:t>financial</w:t>
          </w:r>
          <w:r w:rsidRPr="000D4A19">
            <w:rPr>
              <w:rFonts w:cs="Calibri"/>
              <w:b/>
              <w:sz w:val="24"/>
              <w:szCs w:val="24"/>
              <w:lang w:val="en-GB"/>
            </w:rPr>
            <w:t xml:space="preserve"> declarations (including by giving the Commission the authority to oblige officials to hand over requested information)</w:t>
          </w:r>
          <w:r>
            <w:rPr>
              <w:rFonts w:cs="Calibri"/>
              <w:b/>
              <w:sz w:val="24"/>
              <w:szCs w:val="24"/>
              <w:lang w:val="en-GB"/>
            </w:rPr>
            <w:t xml:space="preserve"> </w:t>
          </w:r>
          <w:r w:rsidRPr="00866FBF">
            <w:rPr>
              <w:rFonts w:cstheme="minorHAnsi"/>
              <w:sz w:val="24"/>
              <w:szCs w:val="24"/>
              <w:lang w:val="en-GB"/>
            </w:rPr>
            <w:t xml:space="preserve">(paragraph </w:t>
          </w:r>
          <w:r>
            <w:rPr>
              <w:rFonts w:cstheme="minorHAnsi"/>
              <w:sz w:val="24"/>
              <w:szCs w:val="24"/>
              <w:lang w:val="en-GB"/>
            </w:rPr>
            <w:t>88</w:t>
          </w:r>
          <w:r w:rsidRPr="00866FBF">
            <w:rPr>
              <w:rFonts w:cstheme="minorHAnsi"/>
              <w:sz w:val="24"/>
              <w:szCs w:val="24"/>
              <w:lang w:val="en-GB"/>
            </w:rPr>
            <w:t>)</w:t>
          </w:r>
          <w:r>
            <w:rPr>
              <w:rFonts w:cstheme="minorHAnsi"/>
              <w:b/>
              <w:sz w:val="24"/>
              <w:szCs w:val="24"/>
              <w:lang w:val="en-GB"/>
            </w:rPr>
            <w:t>;</w:t>
          </w:r>
        </w:p>
        <w:p w14:paraId="041B7DCD" w14:textId="77777777" w:rsidR="005678AB" w:rsidRPr="00866FBF" w:rsidRDefault="005678AB" w:rsidP="005678AB">
          <w:pPr>
            <w:pStyle w:val="Odlomakpopisa"/>
            <w:jc w:val="both"/>
            <w:rPr>
              <w:lang w:val="en-US"/>
            </w:rPr>
          </w:pPr>
        </w:p>
        <w:p w14:paraId="2DB5E0DD" w14:textId="77777777" w:rsidR="005678AB" w:rsidRPr="00866FBF" w:rsidRDefault="005678AB" w:rsidP="005678AB">
          <w:pPr>
            <w:pStyle w:val="Odlomakpopisa"/>
            <w:numPr>
              <w:ilvl w:val="0"/>
              <w:numId w:val="27"/>
            </w:numPr>
            <w:spacing w:after="160" w:line="259" w:lineRule="auto"/>
            <w:ind w:left="851" w:hanging="491"/>
            <w:jc w:val="both"/>
            <w:rPr>
              <w:lang w:val="en-US"/>
            </w:rPr>
          </w:pPr>
          <w:r w:rsidRPr="000D4A19">
            <w:rPr>
              <w:rFonts w:cs="Calibri"/>
              <w:b/>
              <w:sz w:val="24"/>
              <w:szCs w:val="24"/>
              <w:lang w:val="en-GB"/>
            </w:rPr>
            <w:t xml:space="preserve">that (i) the available sanctions for violations of the Law on the Prevention of Conflicts of </w:t>
          </w:r>
          <w:r w:rsidRPr="005678AB">
            <w:rPr>
              <w:rFonts w:cstheme="minorHAnsi"/>
              <w:b/>
              <w:sz w:val="24"/>
              <w:szCs w:val="24"/>
              <w:lang w:val="en-GB"/>
            </w:rPr>
            <w:t>Interest</w:t>
          </w:r>
          <w:r w:rsidRPr="000D4A19">
            <w:rPr>
              <w:rFonts w:cs="Calibri"/>
              <w:b/>
              <w:sz w:val="24"/>
              <w:szCs w:val="24"/>
              <w:lang w:val="en-GB"/>
            </w:rPr>
            <w:t xml:space="preserve"> be reviewed, to ensure that all violations of the Law have proper consequences and (ii) the proportionality of sanctions under the Law be clarified</w:t>
          </w:r>
          <w:r>
            <w:rPr>
              <w:rFonts w:cs="Calibri"/>
              <w:b/>
              <w:sz w:val="24"/>
              <w:szCs w:val="24"/>
              <w:lang w:val="en-GB"/>
            </w:rPr>
            <w:t xml:space="preserve"> </w:t>
          </w:r>
          <w:r w:rsidRPr="00866FBF">
            <w:rPr>
              <w:rFonts w:cstheme="minorHAnsi"/>
              <w:sz w:val="24"/>
              <w:szCs w:val="24"/>
              <w:lang w:val="en-GB"/>
            </w:rPr>
            <w:t xml:space="preserve">(paragraph </w:t>
          </w:r>
          <w:r>
            <w:rPr>
              <w:rFonts w:cstheme="minorHAnsi"/>
              <w:sz w:val="24"/>
              <w:szCs w:val="24"/>
              <w:lang w:val="en-GB"/>
            </w:rPr>
            <w:t>94</w:t>
          </w:r>
          <w:r w:rsidRPr="00866FBF">
            <w:rPr>
              <w:rFonts w:cstheme="minorHAnsi"/>
              <w:sz w:val="24"/>
              <w:szCs w:val="24"/>
              <w:lang w:val="en-GB"/>
            </w:rPr>
            <w:t>)</w:t>
          </w:r>
          <w:r>
            <w:rPr>
              <w:rFonts w:cstheme="minorHAnsi"/>
              <w:b/>
              <w:sz w:val="24"/>
              <w:szCs w:val="24"/>
              <w:lang w:val="en-GB"/>
            </w:rPr>
            <w:t>;</w:t>
          </w:r>
        </w:p>
        <w:p w14:paraId="35804B63" w14:textId="77777777" w:rsidR="005678AB" w:rsidRPr="00866FBF" w:rsidRDefault="005678AB" w:rsidP="005678AB">
          <w:pPr>
            <w:pStyle w:val="Odlomakpopisa"/>
            <w:jc w:val="both"/>
            <w:rPr>
              <w:lang w:val="en-US"/>
            </w:rPr>
          </w:pPr>
        </w:p>
        <w:p w14:paraId="15D8EB49" w14:textId="77777777" w:rsidR="005678AB" w:rsidRPr="00866FBF" w:rsidRDefault="005678AB" w:rsidP="005678AB">
          <w:pPr>
            <w:pStyle w:val="Odlomakpopisa"/>
            <w:numPr>
              <w:ilvl w:val="0"/>
              <w:numId w:val="27"/>
            </w:numPr>
            <w:spacing w:after="160" w:line="259" w:lineRule="auto"/>
            <w:ind w:left="851" w:hanging="491"/>
            <w:jc w:val="both"/>
            <w:rPr>
              <w:lang w:val="en-US"/>
            </w:rPr>
          </w:pPr>
          <w:r w:rsidRPr="000D4A19">
            <w:rPr>
              <w:rFonts w:cstheme="minorHAnsi"/>
              <w:b/>
              <w:sz w:val="24"/>
              <w:szCs w:val="24"/>
              <w:lang w:val="en-GB"/>
            </w:rPr>
            <w:t xml:space="preserve">that the Law on Government be amended to </w:t>
          </w:r>
          <w:r>
            <w:rPr>
              <w:rFonts w:cstheme="minorHAnsi"/>
              <w:b/>
              <w:sz w:val="24"/>
              <w:szCs w:val="24"/>
              <w:lang w:val="en-GB"/>
            </w:rPr>
            <w:t xml:space="preserve">limit </w:t>
          </w:r>
          <w:r w:rsidRPr="000D4A19">
            <w:rPr>
              <w:rFonts w:cstheme="minorHAnsi"/>
              <w:b/>
              <w:sz w:val="24"/>
              <w:szCs w:val="24"/>
              <w:lang w:val="en-GB"/>
            </w:rPr>
            <w:t>the procedural immunity provided to members of the government</w:t>
          </w:r>
          <w:r>
            <w:rPr>
              <w:rFonts w:cstheme="minorHAnsi"/>
              <w:b/>
              <w:sz w:val="24"/>
              <w:szCs w:val="24"/>
              <w:lang w:val="en-GB"/>
            </w:rPr>
            <w:t xml:space="preserve">, by excluding corruption-related offences which are subject to public prosecution </w:t>
          </w:r>
          <w:r w:rsidRPr="00866FBF">
            <w:rPr>
              <w:rFonts w:cstheme="minorHAnsi"/>
              <w:sz w:val="24"/>
              <w:szCs w:val="24"/>
              <w:lang w:val="en-GB"/>
            </w:rPr>
            <w:t xml:space="preserve">(paragraph </w:t>
          </w:r>
          <w:r>
            <w:rPr>
              <w:rFonts w:cstheme="minorHAnsi"/>
              <w:sz w:val="24"/>
              <w:szCs w:val="24"/>
              <w:lang w:val="en-GB"/>
            </w:rPr>
            <w:t>99</w:t>
          </w:r>
          <w:r w:rsidRPr="00866FBF">
            <w:rPr>
              <w:rFonts w:cstheme="minorHAnsi"/>
              <w:sz w:val="24"/>
              <w:szCs w:val="24"/>
              <w:lang w:val="en-GB"/>
            </w:rPr>
            <w:t>)</w:t>
          </w:r>
          <w:r>
            <w:rPr>
              <w:rFonts w:cstheme="minorHAnsi"/>
              <w:b/>
              <w:sz w:val="24"/>
              <w:szCs w:val="24"/>
              <w:lang w:val="en-GB"/>
            </w:rPr>
            <w:t>;</w:t>
          </w:r>
        </w:p>
        <w:p w14:paraId="3DC70C96" w14:textId="77777777" w:rsidR="005678AB" w:rsidRDefault="005678AB" w:rsidP="005678AB">
          <w:pPr>
            <w:pStyle w:val="Odlomakpopisa"/>
            <w:spacing w:after="0" w:line="240" w:lineRule="auto"/>
            <w:jc w:val="both"/>
            <w:rPr>
              <w:i/>
              <w:sz w:val="24"/>
              <w:szCs w:val="24"/>
              <w:lang w:val="en-GB"/>
            </w:rPr>
          </w:pPr>
        </w:p>
        <w:p w14:paraId="183AB1C2" w14:textId="77777777" w:rsidR="005678AB" w:rsidRDefault="005678AB" w:rsidP="005678AB">
          <w:pPr>
            <w:pStyle w:val="Odlomakpopisa"/>
            <w:spacing w:after="0" w:line="240" w:lineRule="auto"/>
            <w:jc w:val="both"/>
            <w:rPr>
              <w:i/>
              <w:sz w:val="24"/>
              <w:szCs w:val="24"/>
              <w:lang w:val="en-GB"/>
            </w:rPr>
          </w:pPr>
        </w:p>
        <w:p w14:paraId="1EC21C19" w14:textId="77777777" w:rsidR="005678AB" w:rsidRDefault="005678AB" w:rsidP="005678AB">
          <w:pPr>
            <w:pStyle w:val="Odlomakpopisa"/>
            <w:spacing w:after="0" w:line="240" w:lineRule="auto"/>
            <w:jc w:val="both"/>
            <w:rPr>
              <w:i/>
              <w:sz w:val="24"/>
              <w:szCs w:val="24"/>
              <w:lang w:val="en-GB"/>
            </w:rPr>
          </w:pPr>
          <w:r w:rsidRPr="00866FBF">
            <w:rPr>
              <w:i/>
              <w:sz w:val="24"/>
              <w:szCs w:val="24"/>
              <w:lang w:val="en-GB"/>
            </w:rPr>
            <w:t>Regarding law enforcement agencies (Police and Border Guard)</w:t>
          </w:r>
        </w:p>
        <w:p w14:paraId="17BC9C8A" w14:textId="77777777" w:rsidR="005678AB" w:rsidRDefault="005678AB" w:rsidP="005678AB">
          <w:pPr>
            <w:pStyle w:val="Odlomakpopisa"/>
            <w:spacing w:after="0" w:line="240" w:lineRule="auto"/>
            <w:jc w:val="both"/>
            <w:rPr>
              <w:i/>
              <w:sz w:val="24"/>
              <w:szCs w:val="24"/>
              <w:lang w:val="en-GB"/>
            </w:rPr>
          </w:pPr>
        </w:p>
        <w:p w14:paraId="39CE091D" w14:textId="77777777" w:rsidR="005678AB" w:rsidRPr="00866FBF" w:rsidRDefault="005678AB" w:rsidP="005678AB">
          <w:pPr>
            <w:pStyle w:val="Odlomakpopisa"/>
            <w:spacing w:after="0" w:line="240" w:lineRule="auto"/>
            <w:jc w:val="both"/>
            <w:rPr>
              <w:i/>
              <w:sz w:val="24"/>
              <w:szCs w:val="24"/>
              <w:lang w:val="en-GB"/>
            </w:rPr>
          </w:pPr>
        </w:p>
        <w:p w14:paraId="3040731B" w14:textId="77777777" w:rsidR="005678AB" w:rsidRPr="00866FBF" w:rsidRDefault="005678AB" w:rsidP="005678AB">
          <w:pPr>
            <w:pStyle w:val="Odlomakpopisa"/>
            <w:numPr>
              <w:ilvl w:val="0"/>
              <w:numId w:val="27"/>
            </w:numPr>
            <w:spacing w:after="160" w:line="259" w:lineRule="auto"/>
            <w:ind w:left="851" w:hanging="491"/>
            <w:jc w:val="both"/>
            <w:rPr>
              <w:lang w:val="en-US"/>
            </w:rPr>
          </w:pPr>
          <w:r w:rsidRPr="000D4A19">
            <w:rPr>
              <w:rFonts w:cstheme="minorHAnsi"/>
              <w:b/>
              <w:sz w:val="24"/>
              <w:szCs w:val="24"/>
              <w:lang w:val="en-GB"/>
            </w:rPr>
            <w:t xml:space="preserve">that </w:t>
          </w:r>
          <w:r>
            <w:rPr>
              <w:rFonts w:cstheme="minorHAnsi"/>
              <w:b/>
              <w:sz w:val="24"/>
              <w:szCs w:val="24"/>
              <w:lang w:val="en-GB"/>
            </w:rPr>
            <w:t xml:space="preserve">(i) the practice of paying fines directly in cash to police officers be abandoned and (ii) </w:t>
          </w:r>
          <w:r w:rsidRPr="000D4A19">
            <w:rPr>
              <w:rFonts w:cstheme="minorHAnsi"/>
              <w:b/>
              <w:sz w:val="24"/>
              <w:szCs w:val="24"/>
              <w:lang w:val="en-GB"/>
            </w:rPr>
            <w:t>a comprehensive risk assessment of corruption prone areas and activities be undertaken in the police, to identify problems and emerging trends, and that the data is used for the pro-active design of an integrity and anti-corruption strategy for the police</w:t>
          </w:r>
          <w:r>
            <w:rPr>
              <w:rFonts w:cstheme="minorHAnsi"/>
              <w:b/>
              <w:sz w:val="24"/>
              <w:szCs w:val="24"/>
              <w:lang w:val="en-GB"/>
            </w:rPr>
            <w:t xml:space="preserve"> </w:t>
          </w:r>
          <w:r w:rsidRPr="00866FBF">
            <w:rPr>
              <w:rFonts w:cstheme="minorHAnsi"/>
              <w:sz w:val="24"/>
              <w:szCs w:val="24"/>
              <w:lang w:val="en-GB"/>
            </w:rPr>
            <w:t xml:space="preserve">(paragraph </w:t>
          </w:r>
          <w:r>
            <w:rPr>
              <w:rFonts w:cstheme="minorHAnsi"/>
              <w:sz w:val="24"/>
              <w:szCs w:val="24"/>
              <w:lang w:val="en-GB"/>
            </w:rPr>
            <w:t>111</w:t>
          </w:r>
          <w:r w:rsidRPr="00866FBF">
            <w:rPr>
              <w:rFonts w:cstheme="minorHAnsi"/>
              <w:sz w:val="24"/>
              <w:szCs w:val="24"/>
              <w:lang w:val="en-GB"/>
            </w:rPr>
            <w:t>)</w:t>
          </w:r>
          <w:r>
            <w:rPr>
              <w:rFonts w:cstheme="minorHAnsi"/>
              <w:b/>
              <w:sz w:val="24"/>
              <w:szCs w:val="24"/>
              <w:lang w:val="en-GB"/>
            </w:rPr>
            <w:t>;</w:t>
          </w:r>
        </w:p>
        <w:p w14:paraId="338C96EB" w14:textId="77777777" w:rsidR="005678AB" w:rsidRPr="00866FBF" w:rsidRDefault="005678AB" w:rsidP="005678AB">
          <w:pPr>
            <w:pStyle w:val="Odlomakpopisa"/>
            <w:jc w:val="both"/>
            <w:rPr>
              <w:lang w:val="en-US"/>
            </w:rPr>
          </w:pPr>
        </w:p>
        <w:p w14:paraId="3386937B" w14:textId="77777777" w:rsidR="005678AB" w:rsidRPr="00866FBF" w:rsidRDefault="005678AB" w:rsidP="005678AB">
          <w:pPr>
            <w:pStyle w:val="Odlomakpopisa"/>
            <w:numPr>
              <w:ilvl w:val="0"/>
              <w:numId w:val="27"/>
            </w:numPr>
            <w:spacing w:after="160" w:line="259" w:lineRule="auto"/>
            <w:ind w:left="851" w:hanging="491"/>
            <w:jc w:val="both"/>
            <w:rPr>
              <w:lang w:val="en-US"/>
            </w:rPr>
          </w:pPr>
          <w:r>
            <w:rPr>
              <w:lang w:val="en-US"/>
            </w:rPr>
            <w:t xml:space="preserve"> </w:t>
          </w:r>
          <w:r w:rsidRPr="000D4A19">
            <w:rPr>
              <w:rFonts w:cstheme="minorHAnsi"/>
              <w:b/>
              <w:sz w:val="24"/>
              <w:szCs w:val="24"/>
              <w:lang w:val="en-GB"/>
            </w:rPr>
            <w:t>that (i) the Code of Ethics for Police Officers is updated and covers in detail all relevant integrity matters (such as conflict of interest, gifts, contacts with third parties, outside activities, the handling of confidential information), supplemented with a manual or handbook illustrating all issues and risk areas with concrete examples; (ii) the Code of Ethics be made known to the public</w:t>
          </w:r>
          <w:r>
            <w:rPr>
              <w:rFonts w:cstheme="minorHAnsi"/>
              <w:b/>
              <w:sz w:val="24"/>
              <w:szCs w:val="24"/>
              <w:lang w:val="en-GB"/>
            </w:rPr>
            <w:t xml:space="preserve"> </w:t>
          </w:r>
          <w:r w:rsidRPr="00866FBF">
            <w:rPr>
              <w:rFonts w:cstheme="minorHAnsi"/>
              <w:sz w:val="24"/>
              <w:szCs w:val="24"/>
              <w:lang w:val="en-GB"/>
            </w:rPr>
            <w:t xml:space="preserve">(paragraph </w:t>
          </w:r>
          <w:r>
            <w:rPr>
              <w:rFonts w:cstheme="minorHAnsi"/>
              <w:sz w:val="24"/>
              <w:szCs w:val="24"/>
              <w:lang w:val="en-GB"/>
            </w:rPr>
            <w:t>118</w:t>
          </w:r>
          <w:r w:rsidRPr="00866FBF">
            <w:rPr>
              <w:rFonts w:cstheme="minorHAnsi"/>
              <w:sz w:val="24"/>
              <w:szCs w:val="24"/>
              <w:lang w:val="en-GB"/>
            </w:rPr>
            <w:t>)</w:t>
          </w:r>
          <w:r>
            <w:rPr>
              <w:rFonts w:cstheme="minorHAnsi"/>
              <w:b/>
              <w:sz w:val="24"/>
              <w:szCs w:val="24"/>
              <w:lang w:val="en-GB"/>
            </w:rPr>
            <w:t>;</w:t>
          </w:r>
        </w:p>
        <w:p w14:paraId="4CD4B4EB" w14:textId="77777777" w:rsidR="005678AB" w:rsidRPr="00866FBF" w:rsidRDefault="005678AB" w:rsidP="005678AB">
          <w:pPr>
            <w:pStyle w:val="Odlomakpopisa"/>
            <w:jc w:val="both"/>
            <w:rPr>
              <w:lang w:val="en-US"/>
            </w:rPr>
          </w:pPr>
        </w:p>
        <w:p w14:paraId="172D700B" w14:textId="77777777" w:rsidR="005678AB" w:rsidRPr="00866FBF" w:rsidRDefault="005678AB" w:rsidP="005678AB">
          <w:pPr>
            <w:pStyle w:val="Odlomakpopisa"/>
            <w:numPr>
              <w:ilvl w:val="0"/>
              <w:numId w:val="27"/>
            </w:numPr>
            <w:spacing w:after="160" w:line="259" w:lineRule="auto"/>
            <w:ind w:left="851" w:hanging="491"/>
            <w:jc w:val="both"/>
            <w:rPr>
              <w:lang w:val="en-US"/>
            </w:rPr>
          </w:pPr>
          <w:r>
            <w:rPr>
              <w:b/>
              <w:sz w:val="24"/>
              <w:szCs w:val="24"/>
              <w:lang w:val="en-GB"/>
            </w:rPr>
            <w:t xml:space="preserve"> </w:t>
          </w:r>
          <w:r w:rsidRPr="000D4A19">
            <w:rPr>
              <w:b/>
              <w:sz w:val="24"/>
              <w:szCs w:val="24"/>
              <w:lang w:val="en-GB"/>
            </w:rPr>
            <w:t xml:space="preserve">that both the initial and in-service training of police officers on ethics and integrity </w:t>
          </w:r>
          <w:r w:rsidRPr="005678AB">
            <w:rPr>
              <w:rFonts w:cstheme="minorHAnsi"/>
              <w:b/>
              <w:sz w:val="24"/>
              <w:szCs w:val="24"/>
              <w:lang w:val="en-GB"/>
            </w:rPr>
            <w:t>matters</w:t>
          </w:r>
          <w:r w:rsidRPr="000D4A19">
            <w:rPr>
              <w:b/>
              <w:sz w:val="24"/>
              <w:szCs w:val="24"/>
              <w:lang w:val="en-GB"/>
            </w:rPr>
            <w:t xml:space="preserve"> be considerably enhanced, taking into consideration the specificity of their duties and vulnerabilities, as provided in a future code of conduct or ethics</w:t>
          </w:r>
          <w:r>
            <w:rPr>
              <w:b/>
              <w:sz w:val="24"/>
              <w:szCs w:val="24"/>
              <w:lang w:val="en-GB"/>
            </w:rPr>
            <w:t xml:space="preserve"> </w:t>
          </w:r>
          <w:r w:rsidRPr="00866FBF">
            <w:rPr>
              <w:rFonts w:cstheme="minorHAnsi"/>
              <w:sz w:val="24"/>
              <w:szCs w:val="24"/>
              <w:lang w:val="en-GB"/>
            </w:rPr>
            <w:t xml:space="preserve">(paragraph </w:t>
          </w:r>
          <w:r>
            <w:rPr>
              <w:rFonts w:cstheme="minorHAnsi"/>
              <w:sz w:val="24"/>
              <w:szCs w:val="24"/>
              <w:lang w:val="en-GB"/>
            </w:rPr>
            <w:t>121</w:t>
          </w:r>
          <w:r w:rsidRPr="00866FBF">
            <w:rPr>
              <w:rFonts w:cstheme="minorHAnsi"/>
              <w:sz w:val="24"/>
              <w:szCs w:val="24"/>
              <w:lang w:val="en-GB"/>
            </w:rPr>
            <w:t>)</w:t>
          </w:r>
          <w:r>
            <w:rPr>
              <w:rFonts w:cstheme="minorHAnsi"/>
              <w:b/>
              <w:sz w:val="24"/>
              <w:szCs w:val="24"/>
              <w:lang w:val="en-GB"/>
            </w:rPr>
            <w:t>;</w:t>
          </w:r>
        </w:p>
        <w:p w14:paraId="45301336" w14:textId="77777777" w:rsidR="005678AB" w:rsidRPr="00866FBF" w:rsidRDefault="005678AB" w:rsidP="005678AB">
          <w:pPr>
            <w:pStyle w:val="Odlomakpopisa"/>
            <w:jc w:val="both"/>
            <w:rPr>
              <w:lang w:val="en-US"/>
            </w:rPr>
          </w:pPr>
        </w:p>
        <w:p w14:paraId="605DE7D1" w14:textId="77777777" w:rsidR="005678AB" w:rsidRPr="00866FBF" w:rsidRDefault="005678AB" w:rsidP="005678AB">
          <w:pPr>
            <w:pStyle w:val="Odlomakpopisa"/>
            <w:numPr>
              <w:ilvl w:val="0"/>
              <w:numId w:val="27"/>
            </w:numPr>
            <w:spacing w:after="160" w:line="259" w:lineRule="auto"/>
            <w:ind w:left="851" w:hanging="491"/>
            <w:jc w:val="both"/>
            <w:rPr>
              <w:lang w:val="en-US"/>
            </w:rPr>
          </w:pPr>
          <w:r w:rsidRPr="009F0950">
            <w:rPr>
              <w:rFonts w:cstheme="minorHAnsi"/>
              <w:b/>
              <w:sz w:val="24"/>
              <w:szCs w:val="24"/>
              <w:lang w:val="en-GB"/>
            </w:rPr>
            <w:t>that possibilities to further improve the current appointment and promotion processes within the police be explored, with a view to improving the objectivity and transparency of decisions, paying particular attention to the representation of women in the police at all levels</w:t>
          </w:r>
          <w:r>
            <w:rPr>
              <w:rFonts w:cstheme="minorHAnsi"/>
              <w:b/>
              <w:sz w:val="24"/>
              <w:szCs w:val="24"/>
              <w:lang w:val="en-GB"/>
            </w:rPr>
            <w:t xml:space="preserve"> </w:t>
          </w:r>
          <w:r w:rsidRPr="00866FBF">
            <w:rPr>
              <w:rFonts w:cstheme="minorHAnsi"/>
              <w:sz w:val="24"/>
              <w:szCs w:val="24"/>
              <w:lang w:val="en-GB"/>
            </w:rPr>
            <w:t xml:space="preserve">(paragraph </w:t>
          </w:r>
          <w:r>
            <w:rPr>
              <w:rFonts w:cstheme="minorHAnsi"/>
              <w:sz w:val="24"/>
              <w:szCs w:val="24"/>
              <w:lang w:val="en-GB"/>
            </w:rPr>
            <w:t>133</w:t>
          </w:r>
          <w:r w:rsidRPr="00866FBF">
            <w:rPr>
              <w:rFonts w:cstheme="minorHAnsi"/>
              <w:sz w:val="24"/>
              <w:szCs w:val="24"/>
              <w:lang w:val="en-GB"/>
            </w:rPr>
            <w:t>)</w:t>
          </w:r>
          <w:r>
            <w:rPr>
              <w:rFonts w:cstheme="minorHAnsi"/>
              <w:b/>
              <w:sz w:val="24"/>
              <w:szCs w:val="24"/>
              <w:lang w:val="en-GB"/>
            </w:rPr>
            <w:t>;</w:t>
          </w:r>
        </w:p>
        <w:p w14:paraId="0D9317AB" w14:textId="77777777" w:rsidR="005678AB" w:rsidRPr="00866FBF" w:rsidRDefault="005678AB" w:rsidP="005678AB">
          <w:pPr>
            <w:pStyle w:val="Odlomakpopisa"/>
            <w:jc w:val="both"/>
            <w:rPr>
              <w:lang w:val="en-US"/>
            </w:rPr>
          </w:pPr>
        </w:p>
        <w:p w14:paraId="57880A37" w14:textId="77777777" w:rsidR="005678AB" w:rsidRPr="005678AB" w:rsidRDefault="005678AB" w:rsidP="005678AB">
          <w:pPr>
            <w:pStyle w:val="Odlomakpopisa"/>
            <w:numPr>
              <w:ilvl w:val="0"/>
              <w:numId w:val="27"/>
            </w:numPr>
            <w:spacing w:after="160" w:line="259" w:lineRule="auto"/>
            <w:ind w:left="851" w:hanging="491"/>
            <w:jc w:val="both"/>
            <w:rPr>
              <w:lang w:val="en-US"/>
            </w:rPr>
          </w:pPr>
          <w:r>
            <w:rPr>
              <w:rFonts w:cstheme="minorHAnsi"/>
              <w:b/>
              <w:sz w:val="24"/>
              <w:szCs w:val="24"/>
              <w:lang w:val="en-GB"/>
            </w:rPr>
            <w:t xml:space="preserve"> </w:t>
          </w:r>
          <w:r w:rsidRPr="000D4A19">
            <w:rPr>
              <w:rFonts w:cstheme="minorHAnsi"/>
              <w:b/>
              <w:sz w:val="24"/>
              <w:szCs w:val="24"/>
              <w:lang w:val="en-GB"/>
            </w:rPr>
            <w:t>that a study be conducted concerning the activities of police officers after they leave the police and that, if necessary in light of the findings of this study, rules be adopted to ensure transparency and limit the risks of conflicts of interest</w:t>
          </w:r>
          <w:r>
            <w:rPr>
              <w:rFonts w:cstheme="minorHAnsi"/>
              <w:b/>
              <w:sz w:val="24"/>
              <w:szCs w:val="24"/>
              <w:lang w:val="en-GB"/>
            </w:rPr>
            <w:t xml:space="preserve"> </w:t>
          </w:r>
          <w:r w:rsidRPr="00866FBF">
            <w:rPr>
              <w:rFonts w:cstheme="minorHAnsi"/>
              <w:sz w:val="24"/>
              <w:szCs w:val="24"/>
              <w:lang w:val="en-GB"/>
            </w:rPr>
            <w:t xml:space="preserve">(paragraph </w:t>
          </w:r>
          <w:r>
            <w:rPr>
              <w:rFonts w:cstheme="minorHAnsi"/>
              <w:sz w:val="24"/>
              <w:szCs w:val="24"/>
              <w:lang w:val="en-GB"/>
            </w:rPr>
            <w:t>143</w:t>
          </w:r>
          <w:r w:rsidRPr="00866FBF">
            <w:rPr>
              <w:rFonts w:cstheme="minorHAnsi"/>
              <w:sz w:val="24"/>
              <w:szCs w:val="24"/>
              <w:lang w:val="en-GB"/>
            </w:rPr>
            <w:t>)</w:t>
          </w:r>
          <w:r>
            <w:rPr>
              <w:rFonts w:cstheme="minorHAnsi"/>
              <w:b/>
              <w:sz w:val="24"/>
              <w:szCs w:val="24"/>
              <w:lang w:val="en-GB"/>
            </w:rPr>
            <w:t>;</w:t>
          </w:r>
        </w:p>
        <w:p w14:paraId="18FCB8EC" w14:textId="77777777" w:rsidR="005678AB" w:rsidRPr="005678AB" w:rsidRDefault="005678AB" w:rsidP="005678AB">
          <w:pPr>
            <w:pStyle w:val="Odlomakpopisa"/>
            <w:rPr>
              <w:rFonts w:cstheme="minorHAnsi"/>
              <w:b/>
              <w:sz w:val="24"/>
              <w:szCs w:val="24"/>
              <w:lang w:val="en-GB"/>
            </w:rPr>
          </w:pPr>
        </w:p>
        <w:p w14:paraId="1EF58FDD" w14:textId="6B98948E" w:rsidR="005678AB" w:rsidRPr="005678AB" w:rsidRDefault="005678AB" w:rsidP="005678AB">
          <w:pPr>
            <w:pStyle w:val="Odlomakpopisa"/>
            <w:numPr>
              <w:ilvl w:val="0"/>
              <w:numId w:val="27"/>
            </w:numPr>
            <w:spacing w:after="160" w:line="259" w:lineRule="auto"/>
            <w:ind w:left="851" w:hanging="491"/>
            <w:jc w:val="both"/>
            <w:rPr>
              <w:lang w:val="en-US"/>
            </w:rPr>
          </w:pPr>
          <w:r w:rsidRPr="005678AB">
            <w:rPr>
              <w:b/>
              <w:sz w:val="24"/>
              <w:szCs w:val="24"/>
              <w:lang w:val="en-GB"/>
            </w:rPr>
            <w:t>that</w:t>
          </w:r>
          <w:r w:rsidRPr="005678AB">
            <w:rPr>
              <w:rFonts w:cstheme="minorHAnsi"/>
              <w:b/>
              <w:sz w:val="24"/>
              <w:szCs w:val="24"/>
              <w:lang w:val="en-GB"/>
            </w:rPr>
            <w:t xml:space="preserve"> a requirement be established for police staff to report integrity related misconduct they </w:t>
          </w:r>
          <w:r w:rsidRPr="005678AB">
            <w:rPr>
              <w:b/>
              <w:sz w:val="24"/>
              <w:szCs w:val="24"/>
              <w:lang w:val="en-GB"/>
            </w:rPr>
            <w:t>come</w:t>
          </w:r>
          <w:r w:rsidRPr="005678AB">
            <w:rPr>
              <w:rFonts w:cstheme="minorHAnsi"/>
              <w:b/>
              <w:sz w:val="24"/>
              <w:szCs w:val="24"/>
              <w:lang w:val="en-GB"/>
            </w:rPr>
            <w:t xml:space="preserve"> across in the service </w:t>
          </w:r>
          <w:r w:rsidRPr="005678AB">
            <w:rPr>
              <w:rFonts w:cstheme="minorHAnsi"/>
              <w:sz w:val="24"/>
              <w:szCs w:val="24"/>
              <w:lang w:val="en-GB"/>
            </w:rPr>
            <w:t>(paragraph 160)</w:t>
          </w:r>
          <w:r w:rsidRPr="005678AB">
            <w:rPr>
              <w:rFonts w:cstheme="minorHAnsi"/>
              <w:b/>
              <w:sz w:val="24"/>
              <w:szCs w:val="24"/>
              <w:lang w:val="en-GB"/>
            </w:rPr>
            <w:t>;</w:t>
          </w:r>
        </w:p>
        <w:p w14:paraId="4D9CD924" w14:textId="77777777" w:rsidR="005678AB" w:rsidRPr="00866FBF" w:rsidRDefault="005678AB" w:rsidP="005678AB">
          <w:pPr>
            <w:pStyle w:val="Odlomakpopisa"/>
            <w:jc w:val="both"/>
            <w:rPr>
              <w:lang w:val="en-US"/>
            </w:rPr>
          </w:pPr>
        </w:p>
        <w:p w14:paraId="53A6D8C0" w14:textId="50358FD4" w:rsidR="009722D2" w:rsidRPr="000D4A19" w:rsidRDefault="00A910A1" w:rsidP="00D13383">
          <w:pPr>
            <w:numPr>
              <w:ilvl w:val="0"/>
              <w:numId w:val="1"/>
            </w:numPr>
            <w:tabs>
              <w:tab w:val="num" w:pos="0"/>
              <w:tab w:val="num" w:pos="567"/>
            </w:tabs>
            <w:spacing w:after="0" w:line="240" w:lineRule="auto"/>
            <w:ind w:left="0" w:firstLine="0"/>
            <w:jc w:val="both"/>
            <w:rPr>
              <w:sz w:val="24"/>
              <w:szCs w:val="24"/>
              <w:lang w:val="en-GB"/>
            </w:rPr>
          </w:pPr>
          <w:r w:rsidRPr="000D4A19">
            <w:rPr>
              <w:sz w:val="24"/>
              <w:szCs w:val="24"/>
              <w:lang w:val="en-GB"/>
            </w:rPr>
            <w:t xml:space="preserve">Pursuant to Rule 30.2 of the Rules of Procedure, GRECO invites the authorities of </w:t>
          </w:r>
          <w:r w:rsidR="009919AC" w:rsidRPr="000D4A19">
            <w:rPr>
              <w:sz w:val="24"/>
              <w:szCs w:val="24"/>
              <w:lang w:val="en-GB"/>
            </w:rPr>
            <w:t>Croatia</w:t>
          </w:r>
          <w:r w:rsidR="00FB2DB2" w:rsidRPr="000D4A19">
            <w:rPr>
              <w:sz w:val="24"/>
              <w:szCs w:val="24"/>
              <w:lang w:val="en-GB"/>
            </w:rPr>
            <w:t xml:space="preserve"> </w:t>
          </w:r>
          <w:r w:rsidRPr="000D4A19">
            <w:rPr>
              <w:sz w:val="24"/>
              <w:szCs w:val="24"/>
              <w:lang w:val="en-GB"/>
            </w:rPr>
            <w:t xml:space="preserve">to submit a report on the measures taken to implement the above-mentioned recommendations by </w:t>
          </w:r>
          <w:r w:rsidR="00FB0787" w:rsidRPr="000D4A19">
            <w:rPr>
              <w:sz w:val="24"/>
              <w:szCs w:val="24"/>
              <w:u w:val="single"/>
              <w:lang w:val="en-GB"/>
            </w:rPr>
            <w:t>3</w:t>
          </w:r>
          <w:r w:rsidR="00D13383" w:rsidRPr="000D4A19">
            <w:rPr>
              <w:sz w:val="24"/>
              <w:szCs w:val="24"/>
              <w:u w:val="single"/>
              <w:lang w:val="en-GB"/>
            </w:rPr>
            <w:t>0</w:t>
          </w:r>
          <w:r w:rsidR="00FB0787" w:rsidRPr="000D4A19">
            <w:rPr>
              <w:sz w:val="24"/>
              <w:szCs w:val="24"/>
              <w:u w:val="single"/>
              <w:lang w:val="en-GB"/>
            </w:rPr>
            <w:t xml:space="preserve"> June 2021</w:t>
          </w:r>
          <w:r w:rsidRPr="000D4A19">
            <w:rPr>
              <w:sz w:val="24"/>
              <w:szCs w:val="24"/>
              <w:lang w:val="en-GB"/>
            </w:rPr>
            <w:t xml:space="preserve">. The measures will be assessed by GRECO through its specific compliance procedure. </w:t>
          </w:r>
        </w:p>
        <w:p w14:paraId="2CE60FEA" w14:textId="77777777" w:rsidR="009722D2" w:rsidRPr="000D4A19" w:rsidRDefault="009722D2" w:rsidP="009722D2">
          <w:pPr>
            <w:spacing w:after="0" w:line="240" w:lineRule="auto"/>
            <w:jc w:val="both"/>
            <w:rPr>
              <w:sz w:val="24"/>
              <w:szCs w:val="24"/>
              <w:lang w:val="en-GB"/>
            </w:rPr>
          </w:pPr>
        </w:p>
        <w:p w14:paraId="3176EFAA" w14:textId="42D628BF" w:rsidR="00A910A1" w:rsidRPr="000D4A19" w:rsidRDefault="00A910A1" w:rsidP="005678AB">
          <w:pPr>
            <w:numPr>
              <w:ilvl w:val="0"/>
              <w:numId w:val="1"/>
            </w:numPr>
            <w:tabs>
              <w:tab w:val="num" w:pos="0"/>
              <w:tab w:val="num" w:pos="567"/>
            </w:tabs>
            <w:spacing w:after="0" w:line="240" w:lineRule="auto"/>
            <w:ind w:left="0" w:firstLine="0"/>
            <w:jc w:val="both"/>
            <w:rPr>
              <w:sz w:val="24"/>
              <w:szCs w:val="24"/>
              <w:lang w:val="en-GB"/>
            </w:rPr>
          </w:pPr>
          <w:r w:rsidRPr="000D4A19">
            <w:rPr>
              <w:sz w:val="24"/>
              <w:szCs w:val="24"/>
              <w:lang w:val="en-GB"/>
            </w:rPr>
            <w:t xml:space="preserve">GRECO invites the authorities of </w:t>
          </w:r>
          <w:r w:rsidR="009919AC" w:rsidRPr="000D4A19">
            <w:rPr>
              <w:sz w:val="24"/>
              <w:szCs w:val="24"/>
              <w:lang w:val="en-GB"/>
            </w:rPr>
            <w:t>Croatia</w:t>
          </w:r>
          <w:r w:rsidR="000D28D9" w:rsidRPr="000D4A19">
            <w:rPr>
              <w:sz w:val="24"/>
              <w:szCs w:val="24"/>
              <w:lang w:val="en-GB"/>
            </w:rPr>
            <w:t xml:space="preserve"> </w:t>
          </w:r>
          <w:r w:rsidRPr="000D4A19">
            <w:rPr>
              <w:sz w:val="24"/>
              <w:szCs w:val="24"/>
              <w:lang w:val="en-GB"/>
            </w:rPr>
            <w:t xml:space="preserve">to authorise, at their earliest convenience, the publication of this report, and to make a translation of it into the national language available to the public. </w:t>
          </w:r>
        </w:p>
        <w:p w14:paraId="3AD51537" w14:textId="77777777" w:rsidR="0010115C" w:rsidRPr="000D4A19" w:rsidRDefault="0010115C" w:rsidP="004B7CAB">
          <w:pPr>
            <w:spacing w:after="0" w:line="240" w:lineRule="auto"/>
            <w:rPr>
              <w:rFonts w:cstheme="minorHAnsi"/>
              <w:lang w:val="en-GB"/>
            </w:rPr>
          </w:pPr>
        </w:p>
        <w:p w14:paraId="1B9BAB43" w14:textId="77777777" w:rsidR="00F50D1C" w:rsidRPr="000D4A19" w:rsidRDefault="002A4EC4" w:rsidP="005678AB">
          <w:pPr>
            <w:tabs>
              <w:tab w:val="num" w:pos="567"/>
            </w:tabs>
            <w:spacing w:after="0" w:line="240" w:lineRule="auto"/>
            <w:jc w:val="both"/>
            <w:rPr>
              <w:rFonts w:cstheme="minorHAnsi"/>
              <w:lang w:val="en-GB"/>
            </w:rPr>
            <w:sectPr w:rsidR="00F50D1C" w:rsidRPr="000D4A19" w:rsidSect="00091F4D">
              <w:type w:val="continuous"/>
              <w:pgSz w:w="11906" w:h="16838" w:code="9"/>
              <w:pgMar w:top="1134" w:right="1418" w:bottom="1134" w:left="1418" w:header="567" w:footer="277" w:gutter="0"/>
              <w:cols w:space="708"/>
              <w:docGrid w:linePitch="360"/>
            </w:sectPr>
          </w:pPr>
        </w:p>
      </w:sdtContent>
    </w:sdt>
    <w:p w14:paraId="3E05D95F" w14:textId="77777777" w:rsidR="005F619A" w:rsidRPr="000D4A19" w:rsidRDefault="00EB5CC1" w:rsidP="004B7CAB">
      <w:pPr>
        <w:spacing w:after="0" w:line="240" w:lineRule="auto"/>
        <w:rPr>
          <w:lang w:val="en-GB"/>
        </w:rPr>
      </w:pPr>
      <w:bookmarkStart w:id="257" w:name="_Toc484161417"/>
      <w:bookmarkStart w:id="258" w:name="_Toc484527893"/>
      <w:bookmarkStart w:id="259" w:name="_Toc484528847"/>
      <w:bookmarkStart w:id="260" w:name="_Toc489353280"/>
      <w:bookmarkStart w:id="261" w:name="_Toc492886045"/>
      <w:bookmarkStart w:id="262" w:name="_Toc492886150"/>
      <w:bookmarkStart w:id="263" w:name="_Toc503526180"/>
      <w:bookmarkStart w:id="264" w:name="_Toc504653888"/>
      <w:bookmarkStart w:id="265" w:name="_Toc506909418"/>
      <w:bookmarkEnd w:id="17"/>
      <w:bookmarkEnd w:id="18"/>
      <w:r w:rsidRPr="000D4A19">
        <w:rPr>
          <w:noProof/>
          <w:lang w:val="en-US"/>
        </w:rPr>
        <mc:AlternateContent>
          <mc:Choice Requires="wps">
            <w:drawing>
              <wp:anchor distT="0" distB="0" distL="91440" distR="91440" simplePos="0" relativeHeight="251658752" behindDoc="1" locked="0" layoutInCell="1" allowOverlap="1" wp14:anchorId="3D58A503" wp14:editId="0CBF2AD3">
                <wp:simplePos x="0" y="0"/>
                <wp:positionH relativeFrom="margin">
                  <wp:posOffset>-52705</wp:posOffset>
                </wp:positionH>
                <wp:positionV relativeFrom="margin">
                  <wp:posOffset>3651885</wp:posOffset>
                </wp:positionV>
                <wp:extent cx="5857875" cy="50831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5083175"/>
                        </a:xfrm>
                        <a:prstGeom prst="rect">
                          <a:avLst/>
                        </a:prstGeom>
                        <a:noFill/>
                        <a:ln w="6350">
                          <a:noFill/>
                        </a:ln>
                        <a:effectLst/>
                      </wps:spPr>
                      <wps:txbx>
                        <w:txbxContent>
                          <w:p w14:paraId="59799DFE" w14:textId="77777777" w:rsidR="005678AB" w:rsidRPr="007E5A21" w:rsidRDefault="005678AB" w:rsidP="00FB0787">
                            <w:pPr>
                              <w:pStyle w:val="Citat"/>
                              <w:pBdr>
                                <w:top w:val="single" w:sz="48" w:space="8" w:color="4F81BD"/>
                                <w:bottom w:val="single" w:sz="48" w:space="8" w:color="4F81BD"/>
                              </w:pBdr>
                              <w:spacing w:after="360" w:line="300" w:lineRule="auto"/>
                              <w:jc w:val="center"/>
                              <w:rPr>
                                <w:rFonts w:asciiTheme="minorHAnsi" w:hAnsiTheme="minorHAnsi" w:cstheme="minorHAnsi"/>
                                <w:b/>
                                <w:i w:val="0"/>
                                <w:color w:val="4F81BD"/>
                                <w:lang w:val="en-GB"/>
                              </w:rPr>
                            </w:pPr>
                            <w:r w:rsidRPr="007E5A21">
                              <w:rPr>
                                <w:rFonts w:asciiTheme="minorHAnsi" w:hAnsiTheme="minorHAnsi" w:cstheme="minorHAnsi"/>
                                <w:b/>
                                <w:i w:val="0"/>
                                <w:color w:val="4F81BD"/>
                                <w:lang w:val="en-GB"/>
                              </w:rPr>
                              <w:br/>
                              <w:t>About GRECO</w:t>
                            </w:r>
                          </w:p>
                          <w:p w14:paraId="29AF0326" w14:textId="77777777" w:rsidR="005678AB" w:rsidRPr="007E5A21" w:rsidRDefault="005678AB" w:rsidP="00FB0787">
                            <w:pPr>
                              <w:pStyle w:val="Citat"/>
                              <w:pBdr>
                                <w:top w:val="single" w:sz="48" w:space="8" w:color="4F81BD"/>
                                <w:bottom w:val="single" w:sz="48" w:space="8" w:color="4F81BD"/>
                              </w:pBdr>
                              <w:spacing w:after="360" w:line="300" w:lineRule="auto"/>
                              <w:jc w:val="both"/>
                              <w:rPr>
                                <w:rFonts w:asciiTheme="minorHAnsi" w:hAnsiTheme="minorHAnsi" w:cstheme="minorHAnsi"/>
                                <w:i w:val="0"/>
                                <w:color w:val="4F81BD"/>
                                <w:lang w:val="en-GB"/>
                              </w:rPr>
                            </w:pPr>
                            <w:r w:rsidRPr="007E5A21">
                              <w:rPr>
                                <w:rFonts w:asciiTheme="minorHAnsi" w:hAnsiTheme="minorHAnsi" w:cstheme="minorHAnsi"/>
                                <w:i w:val="0"/>
                                <w:color w:val="4F81BD"/>
                                <w:lang w:val="en-GB"/>
                              </w:rPr>
                              <w:t>The Group of States against Corruption (GRECO) monitors the compliance of its 49 member states with the Council of Europe’s anti-corruption instruments. GRECO’s monitoring comprises an “evaluation procedure” which is based on country specific responses to a questionnaire and on-site visits, and which is followed up by an impact assessment (“compliance procedure”) which examines the measures taken to implement the recommendations emanating from the country evaluations.</w:t>
                            </w:r>
                            <w:r>
                              <w:rPr>
                                <w:rFonts w:asciiTheme="minorHAnsi" w:hAnsiTheme="minorHAnsi" w:cstheme="minorHAnsi"/>
                                <w:i w:val="0"/>
                                <w:color w:val="4F81BD"/>
                                <w:lang w:val="en-GB"/>
                              </w:rPr>
                              <w:t xml:space="preserve"> </w:t>
                            </w:r>
                            <w:r w:rsidRPr="007E5A21">
                              <w:rPr>
                                <w:rFonts w:asciiTheme="minorHAnsi" w:hAnsiTheme="minorHAnsi" w:cstheme="minorHAnsi"/>
                                <w:i w:val="0"/>
                                <w:color w:val="4F81BD"/>
                                <w:lang w:val="en-GB"/>
                              </w:rPr>
                              <w:t>A dynamic process of mutual evaluation and peer pressure is applied, combining the expertise of practitioners acting as evaluators and state representatives sitting in plenary.</w:t>
                            </w:r>
                          </w:p>
                          <w:p w14:paraId="3A189588" w14:textId="77777777" w:rsidR="005678AB" w:rsidRPr="007E5A21" w:rsidRDefault="005678AB" w:rsidP="00FB0787">
                            <w:pPr>
                              <w:pStyle w:val="Citat"/>
                              <w:pBdr>
                                <w:top w:val="single" w:sz="48" w:space="8" w:color="4F81BD"/>
                                <w:bottom w:val="single" w:sz="48" w:space="8" w:color="4F81BD"/>
                              </w:pBdr>
                              <w:spacing w:after="360" w:line="300" w:lineRule="auto"/>
                              <w:jc w:val="both"/>
                              <w:rPr>
                                <w:rFonts w:asciiTheme="minorHAnsi" w:hAnsiTheme="minorHAnsi" w:cstheme="minorHAnsi"/>
                                <w:i w:val="0"/>
                                <w:color w:val="4F81BD"/>
                                <w:lang w:val="en-GB"/>
                              </w:rPr>
                            </w:pPr>
                            <w:r w:rsidRPr="007E5A21">
                              <w:rPr>
                                <w:rFonts w:asciiTheme="minorHAnsi" w:hAnsiTheme="minorHAnsi" w:cstheme="minorHAnsi"/>
                                <w:i w:val="0"/>
                                <w:color w:val="4F81BD"/>
                                <w:lang w:val="en-GB"/>
                              </w:rPr>
                              <w:t>The work carried out by GRECO has led to the adoption of a considerable number of reports that contain a wealth of factual information on European anti-corruption policies and practices. The reports identify achievements and shortcomings in national legislation, regulations, policies and institutional set-ups, and include recommendations intended to improve the capacity of states to fight corruption and to promote integrity.</w:t>
                            </w:r>
                          </w:p>
                          <w:p w14:paraId="5C2D5C3E" w14:textId="77777777" w:rsidR="005678AB" w:rsidRPr="007E5A21" w:rsidRDefault="005678AB" w:rsidP="00FB0787">
                            <w:pPr>
                              <w:pStyle w:val="Citat"/>
                              <w:pBdr>
                                <w:top w:val="single" w:sz="48" w:space="8" w:color="4F81BD"/>
                                <w:bottom w:val="single" w:sz="48" w:space="8" w:color="4F81BD"/>
                              </w:pBdr>
                              <w:spacing w:after="360" w:line="300" w:lineRule="auto"/>
                              <w:jc w:val="both"/>
                              <w:rPr>
                                <w:rFonts w:asciiTheme="minorHAnsi" w:hAnsiTheme="minorHAnsi" w:cstheme="minorHAnsi"/>
                                <w:i w:val="0"/>
                                <w:color w:val="4F81BD"/>
                                <w:lang w:val="en-GB"/>
                              </w:rPr>
                            </w:pPr>
                            <w:r w:rsidRPr="007E5A21">
                              <w:rPr>
                                <w:rFonts w:asciiTheme="minorHAnsi" w:hAnsiTheme="minorHAnsi" w:cstheme="minorHAnsi"/>
                                <w:i w:val="0"/>
                                <w:color w:val="4F81BD"/>
                                <w:lang w:val="en-GB"/>
                              </w:rPr>
                              <w:t xml:space="preserve">Membership in GRECO is open, on an equal footing, to Council of Europe member states and non-member states. The evaluation and compliance reports adopted by GRECO, as well as other information on GRECO, are available at: </w:t>
                            </w:r>
                            <w:hyperlink r:id="rId27" w:history="1">
                              <w:r w:rsidRPr="007E5A21">
                                <w:rPr>
                                  <w:rStyle w:val="Hiperveza"/>
                                  <w:rFonts w:asciiTheme="minorHAnsi" w:hAnsiTheme="minorHAnsi" w:cstheme="minorHAnsi"/>
                                  <w:i w:val="0"/>
                                </w:rPr>
                                <w:t>www.coe.int/greco</w:t>
                              </w:r>
                            </w:hyperlink>
                            <w:r w:rsidRPr="007E5A21">
                              <w:rPr>
                                <w:rFonts w:asciiTheme="minorHAnsi" w:hAnsiTheme="minorHAnsi" w:cstheme="minorHAnsi"/>
                                <w:i w:val="0"/>
                                <w:color w:val="4F81BD"/>
                              </w:rPr>
                              <w:t>.</w:t>
                            </w:r>
                            <w:r w:rsidRPr="007E5A21">
                              <w:rPr>
                                <w:rFonts w:asciiTheme="minorHAnsi" w:hAnsiTheme="minorHAnsi" w:cstheme="minorHAnsi"/>
                                <w:i w:val="0"/>
                                <w:color w:val="4F81BD"/>
                                <w:lang w:val="en-GB"/>
                              </w:rPr>
                              <w:t xml:space="preserv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D58A503" id="_x0000_t202" coordsize="21600,21600" o:spt="202" path="m,l,21600r21600,l21600,xe">
                <v:stroke joinstyle="miter"/>
                <v:path gradientshapeok="t" o:connecttype="rect"/>
              </v:shapetype>
              <v:shape id="Text Box 3" o:spid="_x0000_s1026" type="#_x0000_t202" style="position:absolute;margin-left:-4.15pt;margin-top:287.55pt;width:461.25pt;height:400.25pt;z-index:-251657728;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" filled="f" stroked="f" strokeweight=".5pt">
                <v:textbox style="mso-fit-shape-to-text:t" inset="0,7.2pt,0,7.2pt">
                  <w:txbxContent>
                    <w:p w14:paraId="59799DFE" w14:textId="77777777" w:rsidR="005678AB" w:rsidRPr="007E5A21" w:rsidRDefault="005678AB" w:rsidP="00FB0787">
                      <w:pPr>
                        <w:pStyle w:val="Citat"/>
                        <w:pBdr>
                          <w:top w:val="single" w:sz="48" w:space="8" w:color="4F81BD"/>
                          <w:bottom w:val="single" w:sz="48" w:space="8" w:color="4F81BD"/>
                        </w:pBdr>
                        <w:spacing w:after="360" w:line="300" w:lineRule="auto"/>
                        <w:jc w:val="center"/>
                        <w:rPr>
                          <w:rFonts w:asciiTheme="minorHAnsi" w:hAnsiTheme="minorHAnsi" w:cstheme="minorHAnsi"/>
                          <w:b/>
                          <w:i w:val="0"/>
                          <w:color w:val="4F81BD"/>
                          <w:lang w:val="en-GB"/>
                        </w:rPr>
                      </w:pPr>
                      <w:r w:rsidRPr="007E5A21">
                        <w:rPr>
                          <w:rFonts w:asciiTheme="minorHAnsi" w:hAnsiTheme="minorHAnsi" w:cstheme="minorHAnsi"/>
                          <w:b/>
                          <w:i w:val="0"/>
                          <w:color w:val="4F81BD"/>
                          <w:lang w:val="en-GB"/>
                        </w:rPr>
                        <w:br/>
                        <w:t>About GRECO</w:t>
                      </w:r>
                    </w:p>
                    <w:p w14:paraId="29AF0326" w14:textId="77777777" w:rsidR="005678AB" w:rsidRPr="007E5A21" w:rsidRDefault="005678AB" w:rsidP="00FB0787">
                      <w:pPr>
                        <w:pStyle w:val="Citat"/>
                        <w:pBdr>
                          <w:top w:val="single" w:sz="48" w:space="8" w:color="4F81BD"/>
                          <w:bottom w:val="single" w:sz="48" w:space="8" w:color="4F81BD"/>
                        </w:pBdr>
                        <w:spacing w:after="360" w:line="300" w:lineRule="auto"/>
                        <w:jc w:val="both"/>
                        <w:rPr>
                          <w:rFonts w:asciiTheme="minorHAnsi" w:hAnsiTheme="minorHAnsi" w:cstheme="minorHAnsi"/>
                          <w:i w:val="0"/>
                          <w:color w:val="4F81BD"/>
                          <w:lang w:val="en-GB"/>
                        </w:rPr>
                      </w:pPr>
                      <w:r w:rsidRPr="007E5A21">
                        <w:rPr>
                          <w:rFonts w:asciiTheme="minorHAnsi" w:hAnsiTheme="minorHAnsi" w:cstheme="minorHAnsi"/>
                          <w:i w:val="0"/>
                          <w:color w:val="4F81BD"/>
                          <w:lang w:val="en-GB"/>
                        </w:rPr>
                        <w:t>The Group of States against Corruption (GRECO) monitors the compliance of its 49 member states with the Council of Europe’s anti-corruption instruments. GRECO’s monitoring comprises an “evaluation procedure” which is based on country specific responses to a questionnaire and on-site visits, and which is followed up by an impact assessment (“compliance procedure”) which examines the measures taken to implement the recommendations emanating from the country evaluations.</w:t>
                      </w:r>
                      <w:r>
                        <w:rPr>
                          <w:rFonts w:asciiTheme="minorHAnsi" w:hAnsiTheme="minorHAnsi" w:cstheme="minorHAnsi"/>
                          <w:i w:val="0"/>
                          <w:color w:val="4F81BD"/>
                          <w:lang w:val="en-GB"/>
                        </w:rPr>
                        <w:t xml:space="preserve"> </w:t>
                      </w:r>
                      <w:r w:rsidRPr="007E5A21">
                        <w:rPr>
                          <w:rFonts w:asciiTheme="minorHAnsi" w:hAnsiTheme="minorHAnsi" w:cstheme="minorHAnsi"/>
                          <w:i w:val="0"/>
                          <w:color w:val="4F81BD"/>
                          <w:lang w:val="en-GB"/>
                        </w:rPr>
                        <w:t>A dynamic process of mutual evaluation and peer pressure is applied, combining the expertise of practitioners acting as evaluators and state representatives sitting in plenary.</w:t>
                      </w:r>
                    </w:p>
                    <w:p w14:paraId="3A189588" w14:textId="77777777" w:rsidR="005678AB" w:rsidRPr="007E5A21" w:rsidRDefault="005678AB" w:rsidP="00FB0787">
                      <w:pPr>
                        <w:pStyle w:val="Citat"/>
                        <w:pBdr>
                          <w:top w:val="single" w:sz="48" w:space="8" w:color="4F81BD"/>
                          <w:bottom w:val="single" w:sz="48" w:space="8" w:color="4F81BD"/>
                        </w:pBdr>
                        <w:spacing w:after="360" w:line="300" w:lineRule="auto"/>
                        <w:jc w:val="both"/>
                        <w:rPr>
                          <w:rFonts w:asciiTheme="minorHAnsi" w:hAnsiTheme="minorHAnsi" w:cstheme="minorHAnsi"/>
                          <w:i w:val="0"/>
                          <w:color w:val="4F81BD"/>
                          <w:lang w:val="en-GB"/>
                        </w:rPr>
                      </w:pPr>
                      <w:r w:rsidRPr="007E5A21">
                        <w:rPr>
                          <w:rFonts w:asciiTheme="minorHAnsi" w:hAnsiTheme="minorHAnsi" w:cstheme="minorHAnsi"/>
                          <w:i w:val="0"/>
                          <w:color w:val="4F81BD"/>
                          <w:lang w:val="en-GB"/>
                        </w:rPr>
                        <w:t>The work carried out by GRECO has led to the adoption of a considerable number of reports that contain a wealth of factual information on European anti-corruption policies and practices. The reports identify achievements and shortcomings in national legislation, regulations, policies and institutional set-ups, and include recommendations intended to improve the capacity of states to fight corruption and to promote integrity.</w:t>
                      </w:r>
                    </w:p>
                    <w:p w14:paraId="5C2D5C3E" w14:textId="77777777" w:rsidR="005678AB" w:rsidRPr="007E5A21" w:rsidRDefault="005678AB" w:rsidP="00FB0787">
                      <w:pPr>
                        <w:pStyle w:val="Citat"/>
                        <w:pBdr>
                          <w:top w:val="single" w:sz="48" w:space="8" w:color="4F81BD"/>
                          <w:bottom w:val="single" w:sz="48" w:space="8" w:color="4F81BD"/>
                        </w:pBdr>
                        <w:spacing w:after="360" w:line="300" w:lineRule="auto"/>
                        <w:jc w:val="both"/>
                        <w:rPr>
                          <w:rFonts w:asciiTheme="minorHAnsi" w:hAnsiTheme="minorHAnsi" w:cstheme="minorHAnsi"/>
                          <w:i w:val="0"/>
                          <w:color w:val="4F81BD"/>
                          <w:lang w:val="en-GB"/>
                        </w:rPr>
                      </w:pPr>
                      <w:r w:rsidRPr="007E5A21">
                        <w:rPr>
                          <w:rFonts w:asciiTheme="minorHAnsi" w:hAnsiTheme="minorHAnsi" w:cstheme="minorHAnsi"/>
                          <w:i w:val="0"/>
                          <w:color w:val="4F81BD"/>
                          <w:lang w:val="en-GB"/>
                        </w:rPr>
                        <w:t xml:space="preserve">Membership in GRECO is open, on an equal footing, to Council of Europe member states and non-member states. The evaluation and compliance reports adopted by GRECO, as well as other information on GRECO, are available at: </w:t>
                      </w:r>
                      <w:hyperlink r:id="rId28" w:history="1">
                        <w:r w:rsidRPr="007E5A21">
                          <w:rPr>
                            <w:rStyle w:val="Hiperveza"/>
                            <w:rFonts w:asciiTheme="minorHAnsi" w:hAnsiTheme="minorHAnsi" w:cstheme="minorHAnsi"/>
                            <w:i w:val="0"/>
                          </w:rPr>
                          <w:t>www.coe.int/greco</w:t>
                        </w:r>
                      </w:hyperlink>
                      <w:r w:rsidRPr="007E5A21">
                        <w:rPr>
                          <w:rFonts w:asciiTheme="minorHAnsi" w:hAnsiTheme="minorHAnsi" w:cstheme="minorHAnsi"/>
                          <w:i w:val="0"/>
                          <w:color w:val="4F81BD"/>
                        </w:rPr>
                        <w:t>.</w:t>
                      </w:r>
                      <w:r w:rsidRPr="007E5A21">
                        <w:rPr>
                          <w:rFonts w:asciiTheme="minorHAnsi" w:hAnsiTheme="minorHAnsi" w:cstheme="minorHAnsi"/>
                          <w:i w:val="0"/>
                          <w:color w:val="4F81BD"/>
                          <w:lang w:val="en-GB"/>
                        </w:rPr>
                        <w:t xml:space="preserve"> </w:t>
                      </w:r>
                    </w:p>
                  </w:txbxContent>
                </v:textbox>
                <w10:wrap anchorx="margin" anchory="margin"/>
              </v:shape>
            </w:pict>
          </mc:Fallback>
        </mc:AlternateContent>
      </w:r>
      <w:bookmarkEnd w:id="257"/>
      <w:bookmarkEnd w:id="258"/>
      <w:bookmarkEnd w:id="259"/>
      <w:bookmarkEnd w:id="260"/>
      <w:bookmarkEnd w:id="261"/>
      <w:bookmarkEnd w:id="262"/>
      <w:bookmarkEnd w:id="263"/>
      <w:bookmarkEnd w:id="264"/>
      <w:bookmarkEnd w:id="265"/>
    </w:p>
    <w:sectPr w:rsidR="005F619A" w:rsidRPr="000D4A19" w:rsidSect="000B4D20">
      <w:footerReference w:type="default" r:id="rId29"/>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77760" w14:textId="77777777" w:rsidR="002A4EC4" w:rsidRDefault="002A4EC4" w:rsidP="00406E8E">
      <w:pPr>
        <w:spacing w:after="0" w:line="240" w:lineRule="auto"/>
      </w:pPr>
      <w:r>
        <w:separator/>
      </w:r>
    </w:p>
  </w:endnote>
  <w:endnote w:type="continuationSeparator" w:id="0">
    <w:p w14:paraId="189B9F9B" w14:textId="77777777" w:rsidR="002A4EC4" w:rsidRDefault="002A4EC4" w:rsidP="0040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font310">
    <w:altName w:val="MS Gothic"/>
    <w:charset w:val="80"/>
    <w:family w:val="auto"/>
    <w:pitch w:val="variable"/>
  </w:font>
  <w:font w:name="RijksoverheidSerif-Regular">
    <w:panose1 w:val="00000000000000000000"/>
    <w:charset w:val="00"/>
    <w:family w:val="roman"/>
    <w:notTrueType/>
    <w:pitch w:val="default"/>
    <w:sig w:usb0="00000003" w:usb1="00000000" w:usb2="00000000" w:usb3="00000000" w:csb0="00000001" w:csb1="00000000"/>
  </w:font>
  <w:font w:name="Verdana,Bold">
    <w:altName w:val="Times New Roman"/>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DejaVu Sans">
    <w:altName w:val="Arial"/>
    <w:charset w:val="EE"/>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421777"/>
      <w:docPartObj>
        <w:docPartGallery w:val="Page Numbers (Bottom of Page)"/>
        <w:docPartUnique/>
      </w:docPartObj>
    </w:sdtPr>
    <w:sdtEndPr>
      <w:rPr>
        <w:noProof/>
      </w:rPr>
    </w:sdtEndPr>
    <w:sdtContent>
      <w:p w14:paraId="560E34A8" w14:textId="4CDE15CE" w:rsidR="005678AB" w:rsidRDefault="005678AB">
        <w:pPr>
          <w:pStyle w:val="Podnoje"/>
          <w:jc w:val="center"/>
        </w:pPr>
        <w:r w:rsidRPr="000663DB">
          <w:rPr>
            <w:sz w:val="24"/>
          </w:rPr>
          <w:fldChar w:fldCharType="begin"/>
        </w:r>
        <w:r w:rsidRPr="000663DB">
          <w:rPr>
            <w:sz w:val="24"/>
          </w:rPr>
          <w:instrText xml:space="preserve"> PAGE   \* MERGEFORMAT </w:instrText>
        </w:r>
        <w:r w:rsidRPr="000663DB">
          <w:rPr>
            <w:sz w:val="24"/>
          </w:rPr>
          <w:fldChar w:fldCharType="separate"/>
        </w:r>
        <w:r w:rsidR="00005290">
          <w:rPr>
            <w:noProof/>
            <w:sz w:val="24"/>
          </w:rPr>
          <w:t>2</w:t>
        </w:r>
        <w:r w:rsidRPr="000663DB">
          <w:rPr>
            <w:noProof/>
            <w:sz w:val="24"/>
          </w:rPr>
          <w:fldChar w:fldCharType="end"/>
        </w:r>
      </w:p>
    </w:sdtContent>
  </w:sdt>
  <w:p w14:paraId="7A06F2E2" w14:textId="77777777" w:rsidR="005678AB" w:rsidRDefault="005678A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09" w:type="dxa"/>
      <w:tblBorders>
        <w:top w:val="single" w:sz="4" w:space="0" w:color="auto"/>
      </w:tblBorders>
      <w:tblLook w:val="04A0" w:firstRow="1" w:lastRow="0" w:firstColumn="1" w:lastColumn="0" w:noHBand="0" w:noVBand="1"/>
    </w:tblPr>
    <w:tblGrid>
      <w:gridCol w:w="3085"/>
      <w:gridCol w:w="3119"/>
      <w:gridCol w:w="3105"/>
    </w:tblGrid>
    <w:tr w:rsidR="005678AB" w:rsidRPr="00D245DB" w14:paraId="382D7EBA" w14:textId="77777777">
      <w:tc>
        <w:tcPr>
          <w:tcW w:w="3085" w:type="dxa"/>
          <w:tcBorders>
            <w:top w:val="single" w:sz="4" w:space="0" w:color="auto"/>
            <w:left w:val="nil"/>
            <w:bottom w:val="nil"/>
            <w:right w:val="nil"/>
          </w:tcBorders>
          <w:vAlign w:val="center"/>
        </w:tcPr>
        <w:p w14:paraId="6F78DB56" w14:textId="77777777" w:rsidR="005678AB" w:rsidRDefault="005678AB" w:rsidP="0058453D">
          <w:pPr>
            <w:tabs>
              <w:tab w:val="center" w:pos="4320"/>
              <w:tab w:val="right" w:pos="8640"/>
            </w:tabs>
            <w:spacing w:before="120" w:after="0" w:line="240" w:lineRule="auto"/>
            <w:rPr>
              <w:rFonts w:cstheme="minorHAnsi"/>
              <w:sz w:val="18"/>
              <w:szCs w:val="14"/>
              <w:lang w:val="en-US"/>
            </w:rPr>
          </w:pPr>
          <w:r>
            <w:rPr>
              <w:rFonts w:cstheme="minorHAnsi"/>
              <w:sz w:val="18"/>
              <w:szCs w:val="14"/>
              <w:lang w:val="en-US"/>
            </w:rPr>
            <w:t>GRECO Secretariat</w:t>
          </w:r>
        </w:p>
        <w:p w14:paraId="0A836F9A" w14:textId="77777777" w:rsidR="005678AB" w:rsidRPr="0058453D" w:rsidRDefault="005678AB" w:rsidP="0058453D">
          <w:pPr>
            <w:tabs>
              <w:tab w:val="center" w:pos="4320"/>
              <w:tab w:val="right" w:pos="8640"/>
            </w:tabs>
            <w:spacing w:after="0" w:line="240" w:lineRule="auto"/>
            <w:rPr>
              <w:rFonts w:cstheme="minorHAnsi"/>
              <w:sz w:val="18"/>
              <w:szCs w:val="14"/>
              <w:lang w:val="en-GB"/>
            </w:rPr>
          </w:pPr>
          <w:r>
            <w:rPr>
              <w:rFonts w:cstheme="minorHAnsi"/>
              <w:sz w:val="18"/>
              <w:szCs w:val="14"/>
              <w:lang w:val="en-US"/>
            </w:rPr>
            <w:t>Council of Europe</w:t>
          </w:r>
          <w:r w:rsidRPr="0058453D">
            <w:rPr>
              <w:rFonts w:cstheme="minorHAnsi"/>
              <w:sz w:val="18"/>
              <w:szCs w:val="14"/>
              <w:lang w:val="en-GB"/>
            </w:rPr>
            <w:t xml:space="preserve"> </w:t>
          </w:r>
        </w:p>
        <w:p w14:paraId="6F5D1613" w14:textId="77777777" w:rsidR="005678AB" w:rsidRPr="0058453D" w:rsidRDefault="005678AB" w:rsidP="0058453D">
          <w:pPr>
            <w:tabs>
              <w:tab w:val="center" w:pos="4320"/>
              <w:tab w:val="right" w:pos="8640"/>
            </w:tabs>
            <w:spacing w:after="0" w:line="240" w:lineRule="auto"/>
            <w:rPr>
              <w:rFonts w:cstheme="minorHAnsi"/>
              <w:sz w:val="18"/>
              <w:szCs w:val="14"/>
              <w:lang w:val="en-GB"/>
            </w:rPr>
          </w:pPr>
          <w:r w:rsidRPr="0058453D">
            <w:rPr>
              <w:rFonts w:cstheme="minorHAnsi"/>
              <w:sz w:val="18"/>
              <w:szCs w:val="14"/>
              <w:lang w:val="en-GB"/>
            </w:rPr>
            <w:t>F-67075 Strasbourg Cedex</w:t>
          </w:r>
        </w:p>
        <w:p w14:paraId="6124BA68" w14:textId="77777777" w:rsidR="005678AB" w:rsidRPr="0058453D" w:rsidRDefault="005678AB" w:rsidP="00B709B0">
          <w:pPr>
            <w:tabs>
              <w:tab w:val="center" w:pos="4320"/>
              <w:tab w:val="right" w:pos="8640"/>
            </w:tabs>
            <w:spacing w:after="0" w:line="240" w:lineRule="auto"/>
            <w:rPr>
              <w:rFonts w:cstheme="minorHAnsi"/>
              <w:sz w:val="18"/>
              <w:szCs w:val="14"/>
              <w:lang w:val="en-GB"/>
            </w:rPr>
          </w:pPr>
          <w:r w:rsidRPr="0058453D">
            <w:rPr>
              <w:rFonts w:cstheme="minorHAnsi"/>
              <w:sz w:val="18"/>
              <w:szCs w:val="14"/>
              <w:lang w:val="en-GB"/>
            </w:rPr>
            <w:t>Tél. +33 3 88 41 20 00</w:t>
          </w:r>
        </w:p>
      </w:tc>
      <w:tc>
        <w:tcPr>
          <w:tcW w:w="3119" w:type="dxa"/>
          <w:tcBorders>
            <w:top w:val="single" w:sz="4" w:space="0" w:color="auto"/>
            <w:left w:val="nil"/>
            <w:bottom w:val="nil"/>
            <w:right w:val="nil"/>
          </w:tcBorders>
          <w:vAlign w:val="center"/>
        </w:tcPr>
        <w:p w14:paraId="59100A03" w14:textId="77777777" w:rsidR="005678AB" w:rsidRPr="00B709B0" w:rsidRDefault="002A4EC4" w:rsidP="00B709B0">
          <w:pPr>
            <w:tabs>
              <w:tab w:val="center" w:pos="4320"/>
              <w:tab w:val="right" w:pos="8640"/>
            </w:tabs>
            <w:spacing w:after="0" w:line="240" w:lineRule="auto"/>
            <w:ind w:firstLine="39"/>
            <w:jc w:val="center"/>
            <w:rPr>
              <w:rFonts w:cstheme="minorHAnsi"/>
              <w:color w:val="0000FF"/>
              <w:sz w:val="18"/>
              <w:szCs w:val="14"/>
              <w:lang w:val="en-GB"/>
            </w:rPr>
          </w:pPr>
          <w:hyperlink r:id="rId1" w:history="1">
            <w:r w:rsidR="005678AB" w:rsidRPr="00B709B0">
              <w:rPr>
                <w:rStyle w:val="Hiperveza"/>
                <w:rFonts w:cstheme="minorHAnsi"/>
                <w:szCs w:val="14"/>
                <w:lang w:val="en-GB"/>
              </w:rPr>
              <w:t>www.coe.int/greco</w:t>
            </w:r>
          </w:hyperlink>
          <w:r w:rsidR="005678AB" w:rsidRPr="00B709B0">
            <w:rPr>
              <w:rStyle w:val="Hiperveza"/>
              <w:rFonts w:cstheme="minorHAnsi"/>
              <w:szCs w:val="14"/>
              <w:lang w:val="en-GB"/>
            </w:rPr>
            <w:t>/fr</w:t>
          </w:r>
        </w:p>
      </w:tc>
      <w:tc>
        <w:tcPr>
          <w:tcW w:w="3105" w:type="dxa"/>
          <w:tcBorders>
            <w:top w:val="single" w:sz="4" w:space="0" w:color="auto"/>
            <w:left w:val="nil"/>
            <w:bottom w:val="nil"/>
            <w:right w:val="nil"/>
          </w:tcBorders>
          <w:vAlign w:val="center"/>
        </w:tcPr>
        <w:p w14:paraId="575CF3F3" w14:textId="77777777" w:rsidR="005678AB" w:rsidRDefault="005678AB" w:rsidP="0058453D">
          <w:pPr>
            <w:tabs>
              <w:tab w:val="center" w:pos="4320"/>
              <w:tab w:val="right" w:pos="8640"/>
            </w:tabs>
            <w:spacing w:before="120" w:after="0" w:line="240" w:lineRule="auto"/>
            <w:jc w:val="right"/>
            <w:rPr>
              <w:rFonts w:cstheme="minorHAnsi"/>
              <w:sz w:val="18"/>
              <w:szCs w:val="14"/>
              <w:lang w:val="en-US"/>
            </w:rPr>
          </w:pPr>
          <w:r>
            <w:rPr>
              <w:rFonts w:cstheme="minorHAnsi"/>
              <w:sz w:val="18"/>
              <w:szCs w:val="14"/>
              <w:lang w:val="en-US"/>
            </w:rPr>
            <w:t>Directorate General I</w:t>
          </w:r>
        </w:p>
        <w:p w14:paraId="24078978" w14:textId="77777777" w:rsidR="005678AB" w:rsidRDefault="005678AB" w:rsidP="0058453D">
          <w:pPr>
            <w:tabs>
              <w:tab w:val="center" w:pos="4320"/>
              <w:tab w:val="right" w:pos="8640"/>
            </w:tabs>
            <w:spacing w:after="0" w:line="240" w:lineRule="auto"/>
            <w:jc w:val="right"/>
            <w:rPr>
              <w:rFonts w:cstheme="minorHAnsi"/>
              <w:sz w:val="18"/>
              <w:szCs w:val="14"/>
              <w:lang w:val="en-US"/>
            </w:rPr>
          </w:pPr>
          <w:r>
            <w:rPr>
              <w:rFonts w:cstheme="minorHAnsi"/>
              <w:sz w:val="18"/>
              <w:szCs w:val="14"/>
              <w:lang w:val="en-US"/>
            </w:rPr>
            <w:t>Human Rights and Rule of Law</w:t>
          </w:r>
        </w:p>
        <w:p w14:paraId="5031926A" w14:textId="77777777" w:rsidR="005678AB" w:rsidRDefault="005678AB" w:rsidP="0058453D">
          <w:pPr>
            <w:tabs>
              <w:tab w:val="center" w:pos="4320"/>
              <w:tab w:val="right" w:pos="8640"/>
            </w:tabs>
            <w:spacing w:after="0" w:line="240" w:lineRule="auto"/>
            <w:jc w:val="right"/>
            <w:rPr>
              <w:rFonts w:cstheme="minorHAnsi"/>
              <w:sz w:val="18"/>
              <w:szCs w:val="14"/>
              <w:lang w:val="en-US"/>
            </w:rPr>
          </w:pPr>
          <w:r>
            <w:rPr>
              <w:rFonts w:cstheme="minorHAnsi"/>
              <w:sz w:val="18"/>
              <w:szCs w:val="14"/>
              <w:lang w:val="en-US"/>
            </w:rPr>
            <w:t xml:space="preserve">Information Society and Action </w:t>
          </w:r>
        </w:p>
        <w:p w14:paraId="18CAD3D6" w14:textId="77777777" w:rsidR="005678AB" w:rsidRPr="00B709B0" w:rsidRDefault="005678AB" w:rsidP="0058453D">
          <w:pPr>
            <w:tabs>
              <w:tab w:val="center" w:pos="4320"/>
              <w:tab w:val="right" w:pos="8640"/>
            </w:tabs>
            <w:spacing w:after="0" w:line="240" w:lineRule="auto"/>
            <w:jc w:val="right"/>
            <w:rPr>
              <w:rFonts w:cstheme="minorHAnsi"/>
              <w:sz w:val="18"/>
              <w:szCs w:val="14"/>
              <w:lang w:val="en-US"/>
            </w:rPr>
          </w:pPr>
          <w:r>
            <w:rPr>
              <w:rFonts w:cstheme="minorHAnsi"/>
              <w:sz w:val="18"/>
              <w:szCs w:val="14"/>
              <w:lang w:val="en-US"/>
            </w:rPr>
            <w:t>against Crime Directorate</w:t>
          </w:r>
        </w:p>
      </w:tc>
    </w:tr>
  </w:tbl>
  <w:p w14:paraId="44637212" w14:textId="77777777" w:rsidR="005678AB" w:rsidRPr="00B709B0" w:rsidRDefault="005678AB" w:rsidP="000B4D20">
    <w:pPr>
      <w:pStyle w:val="Podnoje"/>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3FBBC" w14:textId="77777777" w:rsidR="002A4EC4" w:rsidRDefault="002A4EC4" w:rsidP="00406E8E">
      <w:pPr>
        <w:spacing w:after="0" w:line="240" w:lineRule="auto"/>
      </w:pPr>
      <w:r>
        <w:separator/>
      </w:r>
    </w:p>
  </w:footnote>
  <w:footnote w:type="continuationSeparator" w:id="0">
    <w:p w14:paraId="795872AE" w14:textId="77777777" w:rsidR="002A4EC4" w:rsidRDefault="002A4EC4" w:rsidP="00406E8E">
      <w:pPr>
        <w:spacing w:after="0" w:line="240" w:lineRule="auto"/>
      </w:pPr>
      <w:r>
        <w:continuationSeparator/>
      </w:r>
    </w:p>
  </w:footnote>
  <w:footnote w:id="1">
    <w:p w14:paraId="0C23FC90" w14:textId="77777777" w:rsidR="005678AB" w:rsidRPr="00774FA6" w:rsidRDefault="005678AB" w:rsidP="00CF3F9F">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More information on the methodology is contained in the Evaluation Questionnaire which is available on GRECO’s </w:t>
      </w:r>
      <w:hyperlink r:id="rId1" w:history="1">
        <w:r w:rsidRPr="00774FA6">
          <w:rPr>
            <w:rStyle w:val="Hiperveza"/>
            <w:rFonts w:asciiTheme="minorHAnsi" w:hAnsiTheme="minorHAnsi" w:cstheme="minorHAnsi"/>
          </w:rPr>
          <w:t>website</w:t>
        </w:r>
      </w:hyperlink>
      <w:r w:rsidRPr="00774FA6">
        <w:rPr>
          <w:rFonts w:asciiTheme="minorHAnsi" w:hAnsiTheme="minorHAnsi" w:cstheme="minorHAnsi"/>
        </w:rPr>
        <w:t>.</w:t>
      </w:r>
    </w:p>
  </w:footnote>
  <w:footnote w:id="2">
    <w:p w14:paraId="1C30BA90" w14:textId="45D94AD4" w:rsidR="005678AB" w:rsidRPr="00774FA6" w:rsidRDefault="005678AB" w:rsidP="00507B92">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USKOK, the Office </w:t>
      </w:r>
      <w:r w:rsidRPr="00774FA6">
        <w:rPr>
          <w:rFonts w:asciiTheme="minorHAnsi" w:hAnsiTheme="minorHAnsi" w:cstheme="minorHAnsi"/>
          <w:color w:val="222222"/>
          <w:shd w:val="clear" w:color="auto" w:fill="FFFFFF"/>
        </w:rPr>
        <w:t xml:space="preserve">for the Suppression of Organised Crime and Corruption, is Croatia’s specialised prosecution body. </w:t>
      </w:r>
    </w:p>
  </w:footnote>
  <w:footnote w:id="3">
    <w:p w14:paraId="0C1E672E" w14:textId="77777777" w:rsidR="005678AB" w:rsidRPr="00774FA6" w:rsidRDefault="005678AB" w:rsidP="00815EA3">
      <w:pPr>
        <w:spacing w:after="0" w:line="240" w:lineRule="auto"/>
        <w:jc w:val="both"/>
        <w:rPr>
          <w:rFonts w:cstheme="minorHAnsi"/>
          <w:sz w:val="20"/>
          <w:szCs w:val="20"/>
          <w:lang w:val="en-GB"/>
        </w:rPr>
      </w:pPr>
      <w:r w:rsidRPr="00774FA6">
        <w:rPr>
          <w:rStyle w:val="Referencafusnote"/>
          <w:rFonts w:cstheme="minorHAnsi"/>
          <w:sz w:val="20"/>
          <w:szCs w:val="20"/>
          <w:lang w:val="en-GB"/>
        </w:rPr>
        <w:footnoteRef/>
      </w:r>
      <w:r w:rsidRPr="00774FA6">
        <w:rPr>
          <w:rFonts w:cstheme="minorHAnsi"/>
          <w:sz w:val="20"/>
          <w:szCs w:val="20"/>
          <w:lang w:val="en-GB"/>
        </w:rPr>
        <w:t xml:space="preserve"> </w:t>
      </w:r>
      <w:r w:rsidRPr="00774FA6">
        <w:rPr>
          <w:rFonts w:eastAsia="Times New Roman" w:cstheme="minorHAnsi"/>
          <w:sz w:val="20"/>
          <w:szCs w:val="20"/>
          <w:lang w:val="en-GB"/>
        </w:rPr>
        <w:t>Eval I: Independence, specialisation and means available to national bodies engaged in the prevention and fight against corruption. Extent and scope of immunities; Eval II: Identification, seizure and confiscation of corruption proceeds. Public administration and corruption. Prevention of legal persons being used as shields for corruption. Tax and financial legislation to counter corruption. Links between corruption, organised crime and money laundering; Eval III: Criminalisation of corruption. Transparency of party funding; Eval IV: Prevention of corruption in respect of members of parliament, judges and prosecutors.</w:t>
      </w:r>
      <w:r w:rsidRPr="00774FA6">
        <w:rPr>
          <w:rFonts w:cstheme="minorHAnsi"/>
          <w:sz w:val="20"/>
          <w:szCs w:val="20"/>
          <w:lang w:val="en-GB"/>
        </w:rPr>
        <w:t xml:space="preserve"> </w:t>
      </w:r>
    </w:p>
  </w:footnote>
  <w:footnote w:id="4">
    <w:p w14:paraId="05691207" w14:textId="1BB33064" w:rsidR="005678AB" w:rsidRPr="00774FA6" w:rsidRDefault="005678AB" w:rsidP="00815EA3">
      <w:pPr>
        <w:pStyle w:val="Tekstfusnote"/>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Transparency International, </w:t>
      </w:r>
      <w:hyperlink r:id="rId2" w:history="1">
        <w:r w:rsidRPr="00774FA6">
          <w:rPr>
            <w:rStyle w:val="Hiperveza"/>
            <w:rFonts w:asciiTheme="minorHAnsi" w:hAnsiTheme="minorHAnsi" w:cstheme="minorHAnsi"/>
            <w:i/>
          </w:rPr>
          <w:t>Corruption Perceptions Index</w:t>
        </w:r>
        <w:r w:rsidRPr="00774FA6">
          <w:rPr>
            <w:rStyle w:val="Hiperveza"/>
            <w:rFonts w:asciiTheme="minorHAnsi" w:hAnsiTheme="minorHAnsi" w:cstheme="minorHAnsi"/>
          </w:rPr>
          <w:t xml:space="preserve"> (2018).</w:t>
        </w:r>
        <w:r w:rsidRPr="00774FA6">
          <w:rPr>
            <w:rStyle w:val="Hiperveza"/>
            <w:rFonts w:asciiTheme="minorHAnsi" w:hAnsiTheme="minorHAnsi" w:cstheme="minorHAnsi"/>
            <w:i/>
          </w:rPr>
          <w:t xml:space="preserve"> </w:t>
        </w:r>
      </w:hyperlink>
    </w:p>
  </w:footnote>
  <w:footnote w:id="5">
    <w:p w14:paraId="2AE54081" w14:textId="0CC732BC" w:rsidR="005678AB" w:rsidRPr="00774FA6" w:rsidRDefault="005678AB" w:rsidP="00815EA3">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European Commission, </w:t>
      </w:r>
      <w:hyperlink r:id="rId3" w:history="1">
        <w:r w:rsidRPr="00774FA6">
          <w:rPr>
            <w:rStyle w:val="Hiperveza"/>
            <w:rFonts w:asciiTheme="minorHAnsi" w:hAnsiTheme="minorHAnsi" w:cstheme="minorHAnsi"/>
            <w:i/>
          </w:rPr>
          <w:t>Special Eurobarometer 470 - Corruption</w:t>
        </w:r>
        <w:r w:rsidRPr="00774FA6">
          <w:rPr>
            <w:rStyle w:val="Hiperveza"/>
            <w:rFonts w:asciiTheme="minorHAnsi" w:hAnsiTheme="minorHAnsi" w:cstheme="minorHAnsi"/>
          </w:rPr>
          <w:t xml:space="preserve"> (2017)</w:t>
        </w:r>
      </w:hyperlink>
      <w:r w:rsidRPr="00774FA6">
        <w:rPr>
          <w:rFonts w:asciiTheme="minorHAnsi" w:hAnsiTheme="minorHAnsi" w:cstheme="minorHAnsi"/>
        </w:rPr>
        <w:t>.</w:t>
      </w:r>
    </w:p>
  </w:footnote>
  <w:footnote w:id="6">
    <w:p w14:paraId="694DD3AF" w14:textId="1AA6A028" w:rsidR="005678AB" w:rsidRPr="00774FA6" w:rsidRDefault="005678AB" w:rsidP="00815EA3">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w:t>
      </w:r>
      <w:r>
        <w:rPr>
          <w:rFonts w:asciiTheme="minorHAnsi" w:hAnsiTheme="minorHAnsi" w:cstheme="minorHAnsi"/>
        </w:rPr>
        <w:t xml:space="preserve">In March 2017, when the financial difficulties of Agrokor (one of the biggest companies in the region) became untenable, </w:t>
      </w:r>
      <w:r w:rsidRPr="003F0B82">
        <w:rPr>
          <w:rFonts w:asciiTheme="minorHAnsi" w:hAnsiTheme="minorHAnsi"/>
        </w:rPr>
        <w:t xml:space="preserve">the government of Croatia passed the </w:t>
      </w:r>
      <w:r w:rsidRPr="003F0B82">
        <w:rPr>
          <w:rFonts w:asciiTheme="minorHAnsi" w:hAnsiTheme="minorHAnsi"/>
          <w:i/>
          <w:iCs/>
        </w:rPr>
        <w:t>Law on Extraordinary Administration Procedure in Enterprises of Systematic Importance for the Republic of Croatia</w:t>
      </w:r>
      <w:r>
        <w:rPr>
          <w:rFonts w:asciiTheme="minorHAnsi" w:hAnsiTheme="minorHAnsi"/>
        </w:rPr>
        <w:t xml:space="preserve">. With the activation of the law by Agrokor’s management, the collapse of Agrokor (which could have destabilised Croatia’s economy) was prevented. In a decision of May 2018, the Constitutional Court of Croatia assessed the aforementioned law to be in compliance with Croatia’s constitution. While not questioning this law as such, the process of adopting this law raised some questions:  news reports </w:t>
      </w:r>
      <w:r>
        <w:rPr>
          <w:rFonts w:asciiTheme="minorHAnsi" w:hAnsiTheme="minorHAnsi"/>
          <w:i/>
        </w:rPr>
        <w:t>inter alia</w:t>
      </w:r>
      <w:r>
        <w:rPr>
          <w:rFonts w:asciiTheme="minorHAnsi" w:hAnsiTheme="minorHAnsi"/>
        </w:rPr>
        <w:t xml:space="preserve"> unveiled that an unofficial </w:t>
      </w:r>
      <w:r w:rsidRPr="003F0B82">
        <w:rPr>
          <w:rFonts w:asciiTheme="minorHAnsi" w:hAnsiTheme="minorHAnsi" w:cstheme="minorHAnsi"/>
          <w:iCs/>
        </w:rPr>
        <w:t xml:space="preserve">group of consultants </w:t>
      </w:r>
      <w:r>
        <w:rPr>
          <w:rFonts w:asciiTheme="minorHAnsi" w:hAnsiTheme="minorHAnsi" w:cstheme="minorHAnsi"/>
          <w:iCs/>
        </w:rPr>
        <w:t>participated in the drafting of this law</w:t>
      </w:r>
      <w:r>
        <w:rPr>
          <w:rFonts w:asciiTheme="minorHAnsi" w:hAnsiTheme="minorHAnsi" w:cstheme="minorHAnsi"/>
        </w:rPr>
        <w:t xml:space="preserve"> and that </w:t>
      </w:r>
      <w:r>
        <w:rPr>
          <w:rFonts w:asciiTheme="minorHAnsi" w:hAnsiTheme="minorHAnsi" w:cstheme="minorHAnsi"/>
          <w:iCs/>
        </w:rPr>
        <w:t>s</w:t>
      </w:r>
      <w:r w:rsidRPr="003F0B82">
        <w:rPr>
          <w:rFonts w:asciiTheme="minorHAnsi" w:hAnsiTheme="minorHAnsi" w:cstheme="minorHAnsi"/>
          <w:iCs/>
        </w:rPr>
        <w:t>ome members of th</w:t>
      </w:r>
      <w:r>
        <w:rPr>
          <w:rFonts w:asciiTheme="minorHAnsi" w:hAnsiTheme="minorHAnsi" w:cstheme="minorHAnsi"/>
          <w:iCs/>
        </w:rPr>
        <w:t>is</w:t>
      </w:r>
      <w:r w:rsidRPr="003F0B82">
        <w:rPr>
          <w:rFonts w:asciiTheme="minorHAnsi" w:hAnsiTheme="minorHAnsi" w:cstheme="minorHAnsi"/>
          <w:i/>
          <w:iCs/>
        </w:rPr>
        <w:t xml:space="preserve"> </w:t>
      </w:r>
      <w:r w:rsidRPr="003F0B82">
        <w:rPr>
          <w:rFonts w:asciiTheme="minorHAnsi" w:hAnsiTheme="minorHAnsi" w:cstheme="minorHAnsi"/>
          <w:iCs/>
        </w:rPr>
        <w:t xml:space="preserve">group were subsequently appointed </w:t>
      </w:r>
      <w:r>
        <w:rPr>
          <w:rFonts w:asciiTheme="minorHAnsi" w:hAnsiTheme="minorHAnsi" w:cstheme="minorHAnsi"/>
          <w:iCs/>
        </w:rPr>
        <w:t xml:space="preserve">as </w:t>
      </w:r>
      <w:r w:rsidRPr="003F0B82">
        <w:rPr>
          <w:rFonts w:asciiTheme="minorHAnsi" w:hAnsiTheme="minorHAnsi" w:cstheme="minorHAnsi"/>
          <w:iCs/>
        </w:rPr>
        <w:t>in the emergenc</w:t>
      </w:r>
      <w:r>
        <w:rPr>
          <w:rFonts w:asciiTheme="minorHAnsi" w:hAnsiTheme="minorHAnsi" w:cstheme="minorHAnsi"/>
          <w:iCs/>
        </w:rPr>
        <w:t>y administration of the company or as consultants thereof</w:t>
      </w:r>
      <w:r w:rsidRPr="003F0B82">
        <w:rPr>
          <w:rFonts w:asciiTheme="minorHAnsi" w:hAnsiTheme="minorHAnsi" w:cstheme="minorHAnsi"/>
          <w:iCs/>
        </w:rPr>
        <w:t>.</w:t>
      </w:r>
      <w:r>
        <w:rPr>
          <w:rFonts w:asciiTheme="minorHAnsi" w:hAnsiTheme="minorHAnsi" w:cstheme="minorHAnsi"/>
          <w:iCs/>
        </w:rPr>
        <w:t xml:space="preserve"> One member of the government resigned over these reports and various proceedings took place before the Commission related to this case (which were subsequently also dealt with in administrative court proceedings).  </w:t>
      </w:r>
    </w:p>
  </w:footnote>
  <w:footnote w:id="7">
    <w:p w14:paraId="69BECBF2" w14:textId="5F6F93DA" w:rsidR="005678AB" w:rsidRPr="00774FA6" w:rsidRDefault="005678AB" w:rsidP="00815EA3">
      <w:pPr>
        <w:pStyle w:val="Tekstfusnote"/>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See </w:t>
      </w:r>
      <w:r w:rsidRPr="007A42EA">
        <w:rPr>
          <w:rFonts w:asciiTheme="minorHAnsi" w:hAnsiTheme="minorHAnsi" w:cstheme="minorHAnsi"/>
        </w:rPr>
        <w:t>footnote 5.</w:t>
      </w:r>
      <w:r w:rsidRPr="00774FA6">
        <w:rPr>
          <w:rFonts w:asciiTheme="minorHAnsi" w:hAnsiTheme="minorHAnsi" w:cstheme="minorHAnsi"/>
        </w:rPr>
        <w:t xml:space="preserve">  </w:t>
      </w:r>
    </w:p>
  </w:footnote>
  <w:footnote w:id="8">
    <w:p w14:paraId="5B9CD2E3" w14:textId="1EDD8DFB" w:rsidR="005678AB" w:rsidRPr="00774FA6" w:rsidRDefault="005678AB" w:rsidP="00507B92">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At the time of writing this report Ms. Kolinda Grabar-Kitarović is the President of Croatia (since February 2015, for a first term).</w:t>
      </w:r>
    </w:p>
  </w:footnote>
  <w:footnote w:id="9">
    <w:p w14:paraId="2A533F9C" w14:textId="3F34E3C9" w:rsidR="005678AB" w:rsidRPr="00774FA6" w:rsidRDefault="005678AB" w:rsidP="00507B92">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The unicameral </w:t>
      </w:r>
      <w:r w:rsidRPr="00774FA6">
        <w:rPr>
          <w:rFonts w:asciiTheme="minorHAnsi" w:hAnsiTheme="minorHAnsi" w:cstheme="minorHAnsi"/>
          <w:i/>
        </w:rPr>
        <w:t xml:space="preserve">Sabor </w:t>
      </w:r>
      <w:r w:rsidRPr="00774FA6">
        <w:rPr>
          <w:rFonts w:asciiTheme="minorHAnsi" w:hAnsiTheme="minorHAnsi" w:cstheme="minorHAnsi"/>
        </w:rPr>
        <w:t xml:space="preserve">is Croatia’s legislature, composed of 151 members elected for a four-year term. Seats are allocated according to electoral districts with 140 members elected in multi-seat constituencies, eight from minorities and three from the Croatian diaspora. For more information on the </w:t>
      </w:r>
      <w:r w:rsidRPr="00774FA6">
        <w:rPr>
          <w:rFonts w:asciiTheme="minorHAnsi" w:hAnsiTheme="minorHAnsi" w:cstheme="minorHAnsi"/>
          <w:i/>
        </w:rPr>
        <w:t>Sabor</w:t>
      </w:r>
      <w:r w:rsidRPr="00774FA6">
        <w:rPr>
          <w:rFonts w:asciiTheme="minorHAnsi" w:hAnsiTheme="minorHAnsi" w:cstheme="minorHAnsi"/>
        </w:rPr>
        <w:t xml:space="preserve">, please see GRECO’s </w:t>
      </w:r>
      <w:hyperlink r:id="rId4" w:history="1">
        <w:r w:rsidRPr="00774FA6">
          <w:rPr>
            <w:rStyle w:val="Hiperveza"/>
            <w:rFonts w:asciiTheme="minorHAnsi" w:hAnsiTheme="minorHAnsi" w:cstheme="minorHAnsi"/>
            <w:i/>
          </w:rPr>
          <w:t>Fourth Round Evaluation Report on Croatia</w:t>
        </w:r>
      </w:hyperlink>
      <w:r w:rsidRPr="00774FA6">
        <w:rPr>
          <w:rFonts w:asciiTheme="minorHAnsi" w:hAnsiTheme="minorHAnsi" w:cstheme="minorHAnsi"/>
        </w:rPr>
        <w:t xml:space="preserve"> (June 2014).</w:t>
      </w:r>
    </w:p>
  </w:footnote>
  <w:footnote w:id="10">
    <w:p w14:paraId="41B180E1" w14:textId="093B8BA5" w:rsidR="005678AB" w:rsidRPr="00774FA6" w:rsidRDefault="005678AB" w:rsidP="00F04F05">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In addition, the President has a duty to call parliamentary elections and referenda, convene the first session of the Parliament, grant pardons (on the proposal of the relevant minister) and confer decorations and awards as specified by law.</w:t>
      </w:r>
    </w:p>
  </w:footnote>
  <w:footnote w:id="11">
    <w:p w14:paraId="57C9B5C8" w14:textId="4BB1D808" w:rsidR="005678AB" w:rsidRPr="00774FA6" w:rsidRDefault="005678AB" w:rsidP="00976DC6">
      <w:pPr>
        <w:pStyle w:val="Tekstfusnote"/>
        <w:jc w:val="both"/>
        <w:rPr>
          <w:rFonts w:asciiTheme="minorHAnsi" w:hAnsiTheme="minorHAnsi"/>
        </w:rPr>
      </w:pPr>
      <w:r w:rsidRPr="00774FA6">
        <w:rPr>
          <w:rStyle w:val="Referencafusnote"/>
          <w:rFonts w:asciiTheme="minorHAnsi" w:hAnsiTheme="minorHAnsi"/>
        </w:rPr>
        <w:footnoteRef/>
      </w:r>
      <w:r w:rsidRPr="00774FA6">
        <w:rPr>
          <w:rFonts w:asciiTheme="minorHAnsi" w:hAnsiTheme="minorHAnsi"/>
        </w:rPr>
        <w:t xml:space="preserve"> For example, the President and Prime Minister co-sign decisions on the appointment of the director and deputy director of the security intelligence agency and the military security intelligence agency (following an opinion provided by the relevant committee of the Croatian Parliament), as well as the head of the office of the National Security Council and heads of diplomatic missions (on the proposal of the government and with the opinion of the competent committee of the Croatian Parliament).  </w:t>
      </w:r>
    </w:p>
  </w:footnote>
  <w:footnote w:id="12">
    <w:p w14:paraId="44F48D17" w14:textId="7713C8EC" w:rsidR="005678AB" w:rsidRPr="00774FA6" w:rsidRDefault="005678AB" w:rsidP="00976DC6">
      <w:pPr>
        <w:pStyle w:val="Tekstfusnote"/>
        <w:jc w:val="both"/>
        <w:rPr>
          <w:rFonts w:asciiTheme="minorHAnsi" w:hAnsiTheme="minorHAnsi"/>
        </w:rPr>
      </w:pPr>
      <w:r w:rsidRPr="00774FA6">
        <w:rPr>
          <w:rStyle w:val="Referencafusnote"/>
          <w:rFonts w:asciiTheme="minorHAnsi" w:hAnsiTheme="minorHAnsi"/>
        </w:rPr>
        <w:footnoteRef/>
      </w:r>
      <w:r w:rsidRPr="00774FA6">
        <w:rPr>
          <w:rFonts w:asciiTheme="minorHAnsi" w:hAnsiTheme="minorHAnsi"/>
        </w:rPr>
        <w:t xml:space="preserve"> These were sessions to celebrate Croatian National Day and sessions on negotiations with the European Union and their impact on the economic development of the Republic of Croatia. </w:t>
      </w:r>
    </w:p>
  </w:footnote>
  <w:footnote w:id="13">
    <w:p w14:paraId="56BC01C9" w14:textId="77777777" w:rsidR="005678AB" w:rsidRPr="00774FA6" w:rsidRDefault="005678AB">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Pursuant to Article 113 of the Constitution, the Government of the Republic of Croatia shall propose bills and other acts to the Croatian Parliament; propose the central budget and annual accounts; execute laws and other decisions of the Croatian Parliament; adopt decrees to implement laws; conduct foreign and domestic policy; direct and control the operation of the civil service; tend to the economic development of the country; direct the performance and development of public services; perform other duties determined by the Constitution and law.</w:t>
      </w:r>
    </w:p>
  </w:footnote>
  <w:footnote w:id="14">
    <w:p w14:paraId="059D6C1E" w14:textId="44E2C05F" w:rsidR="005678AB" w:rsidRPr="00774FA6" w:rsidRDefault="005678AB">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The Prime Minister is officially called “President of the Government of the Republic of Croatia”, but for the purpose of this report the term Prime Minister will be used. </w:t>
      </w:r>
    </w:p>
  </w:footnote>
  <w:footnote w:id="15">
    <w:p w14:paraId="620E474C" w14:textId="65EF0621" w:rsidR="005678AB" w:rsidRPr="00774FA6" w:rsidRDefault="005678AB">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The minister maintained he had done nothing wrong, as he had the intention of building a house there, but resigned in order “not to be a liability for the government“. </w:t>
      </w:r>
    </w:p>
  </w:footnote>
  <w:footnote w:id="16">
    <w:p w14:paraId="03496430" w14:textId="3D249CFE" w:rsidR="005678AB" w:rsidRPr="00774FA6" w:rsidRDefault="005678AB">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Certain decisions of the government can also be appealed before an administrative court (Article 16, Law on the State Administration System). In the period 2014-2019, there have been 10 such appeals.  </w:t>
      </w:r>
    </w:p>
  </w:footnote>
  <w:footnote w:id="17">
    <w:p w14:paraId="1D426667" w14:textId="4A8CC29F" w:rsidR="005678AB" w:rsidRPr="00774FA6" w:rsidRDefault="005678AB" w:rsidP="00507B92">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w:t>
      </w:r>
      <w:r w:rsidRPr="00697269">
        <w:rPr>
          <w:rFonts w:asciiTheme="minorHAnsi" w:hAnsiTheme="minorHAnsi" w:cstheme="minorHAnsi"/>
        </w:rPr>
        <w:t>The cabinet was originally constituted by a coalition agreement between the Croatian Democratic Union (HDZ) and Bridge of Independent Lists (Most) and was voted into office by the Croatian Parliament on 19 October 2016 (with 91 out of 151 votes). In April 2017, however, disagreements between HDZ and MOST over the on-going crisis involving Agrokor</w:t>
      </w:r>
      <w:r w:rsidRPr="00774FA6">
        <w:rPr>
          <w:rFonts w:asciiTheme="minorHAnsi" w:hAnsiTheme="minorHAnsi" w:cstheme="minorHAnsi"/>
        </w:rPr>
        <w:t xml:space="preserve"> (se</w:t>
      </w:r>
      <w:r w:rsidRPr="007A42EA">
        <w:rPr>
          <w:rFonts w:asciiTheme="minorHAnsi" w:hAnsiTheme="minorHAnsi" w:cstheme="minorHAnsi"/>
        </w:rPr>
        <w:t>e context</w:t>
      </w:r>
      <w:r w:rsidRPr="00774FA6">
        <w:rPr>
          <w:rFonts w:asciiTheme="minorHAnsi" w:hAnsiTheme="minorHAnsi" w:cstheme="minorHAnsi"/>
        </w:rPr>
        <w:t xml:space="preserve"> above as regards this case) and the role of the Minister of Finance led to the collapse of the coalition. HDZ agreed on a coalition with the Croatian People's Party-Liberal Democrats (HNS), with HNS being given two ministries in the cabinet, as approved on 9 June 2017 by the Parliament with 78 out of 151 votes.</w:t>
      </w:r>
    </w:p>
  </w:footnote>
  <w:footnote w:id="18">
    <w:p w14:paraId="233FF2D8" w14:textId="2DE25C7C" w:rsidR="005678AB" w:rsidRPr="00774FA6" w:rsidRDefault="005678AB" w:rsidP="00C16659">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A state secretary is appointed by the government upon the proposal of the Prime Minister and is accountable for his/her work to the minister and the government (Article 40 of the Law on the State Administration System). A minister can have one or more state secretaries; if s/he has several, the minister decides who of those will be his/her substitute in case of the minister’s absence.  </w:t>
      </w:r>
    </w:p>
  </w:footnote>
  <w:footnote w:id="19">
    <w:p w14:paraId="2D19B2C2" w14:textId="7FDF3354" w:rsidR="005678AB" w:rsidRPr="00774FA6" w:rsidRDefault="005678AB" w:rsidP="00F04F05">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An assistant minister is appointed by the government, upon the proposal of the minister, and accountable for his/her work to the minister and the government (Article 41 of the Law on the State Administration System). One or more assistant ministers can be appointed in a ministry. </w:t>
      </w:r>
    </w:p>
  </w:footnote>
  <w:footnote w:id="20">
    <w:p w14:paraId="2757F1E8" w14:textId="0A92A71C" w:rsidR="005678AB" w:rsidRPr="00774FA6" w:rsidRDefault="005678AB">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State secretaries of central state offices are appointed by the government upon proposal of the Prime Minister and are accountable for their work to the Prime Minister and government. </w:t>
      </w:r>
    </w:p>
  </w:footnote>
  <w:footnote w:id="21">
    <w:p w14:paraId="379E3AB6" w14:textId="1307DBC5" w:rsidR="005678AB" w:rsidRPr="00774FA6" w:rsidRDefault="005678AB">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Director generals of state administration organisations are appointed and dismissed by the government, upon the proposal of the Prime Ministers and a previously obtained opinion of the line minister in question. They are accountable for their work to the government, or rather the line minister. </w:t>
      </w:r>
    </w:p>
  </w:footnote>
  <w:footnote w:id="22">
    <w:p w14:paraId="5428ADE8" w14:textId="19BC5E26" w:rsidR="005678AB" w:rsidRPr="00774FA6" w:rsidRDefault="005678AB">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Information on special advisers (names, functions and possible remuneration) is not routinely published on web-sites of ministries but can be provided when requested (through the Law on the Right of Access to Information). This information on the number of special advisers in March 2018 was provided following a request by an MP. </w:t>
      </w:r>
    </w:p>
  </w:footnote>
  <w:footnote w:id="23">
    <w:p w14:paraId="477676CE" w14:textId="48794639" w:rsidR="005678AB" w:rsidRPr="00774FA6" w:rsidRDefault="005678AB">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w:t>
      </w:r>
      <w:r>
        <w:rPr>
          <w:rFonts w:asciiTheme="minorHAnsi" w:hAnsiTheme="minorHAnsi" w:cstheme="minorHAnsi"/>
        </w:rPr>
        <w:t xml:space="preserve">This was for example demonstrated by the involvement of an unofficial group of consultants in drafting </w:t>
      </w:r>
      <w:r>
        <w:rPr>
          <w:rFonts w:asciiTheme="minorHAnsi" w:hAnsiTheme="minorHAnsi" w:cstheme="minorHAnsi"/>
          <w:i/>
        </w:rPr>
        <w:t xml:space="preserve">Lex Agrokor </w:t>
      </w:r>
      <w:r>
        <w:rPr>
          <w:rFonts w:asciiTheme="minorHAnsi" w:hAnsiTheme="minorHAnsi" w:cstheme="minorHAnsi"/>
        </w:rPr>
        <w:t xml:space="preserve">(see context). </w:t>
      </w:r>
      <w:r w:rsidRPr="00774FA6">
        <w:rPr>
          <w:rFonts w:asciiTheme="minorHAnsi" w:hAnsiTheme="minorHAnsi" w:cstheme="minorHAnsi"/>
        </w:rPr>
        <w:t>Even if the</w:t>
      </w:r>
      <w:r>
        <w:rPr>
          <w:rFonts w:asciiTheme="minorHAnsi" w:hAnsiTheme="minorHAnsi" w:cstheme="minorHAnsi"/>
        </w:rPr>
        <w:t>se</w:t>
      </w:r>
      <w:r w:rsidRPr="00774FA6">
        <w:rPr>
          <w:rFonts w:asciiTheme="minorHAnsi" w:hAnsiTheme="minorHAnsi" w:cstheme="minorHAnsi"/>
        </w:rPr>
        <w:t xml:space="preserve"> consultants did not have the status of “special adviser” and the developments surrounding </w:t>
      </w:r>
      <w:r w:rsidRPr="00774FA6">
        <w:rPr>
          <w:rFonts w:asciiTheme="minorHAnsi" w:hAnsiTheme="minorHAnsi" w:cstheme="minorHAnsi"/>
          <w:i/>
        </w:rPr>
        <w:t>Lex Agrokor</w:t>
      </w:r>
      <w:r w:rsidRPr="00774FA6">
        <w:rPr>
          <w:rFonts w:asciiTheme="minorHAnsi" w:hAnsiTheme="minorHAnsi" w:cstheme="minorHAnsi"/>
        </w:rPr>
        <w:t xml:space="preserve"> were of an exceptional nature, the case acutely shows the potential for conflicts of interest in the work of people working in an unremunerated advisory capacity for the government (raising questions for example as to whether the content of certain advice was influenced by the possibility of acquiring lucrative contracts thereafter and/or whether persons benefited from access to certain privileged information). It should be noted however that in relation to the aforementioned consultants specifically, USKOK found no evidence that potential investors had any prior knowledge of </w:t>
      </w:r>
      <w:r w:rsidRPr="00774FA6">
        <w:rPr>
          <w:rFonts w:asciiTheme="minorHAnsi" w:hAnsiTheme="minorHAnsi" w:cstheme="minorHAnsi"/>
          <w:i/>
        </w:rPr>
        <w:t>Lex Agrokor</w:t>
      </w:r>
      <w:r w:rsidRPr="00774FA6">
        <w:rPr>
          <w:rFonts w:asciiTheme="minorHAnsi" w:hAnsiTheme="minorHAnsi" w:cstheme="minorHAnsi"/>
        </w:rPr>
        <w:t xml:space="preserve"> before the draft was adopted and dismissed all charges in this respect in July 2019. </w:t>
      </w:r>
    </w:p>
  </w:footnote>
  <w:footnote w:id="24">
    <w:p w14:paraId="4530D51F" w14:textId="33FEC05A" w:rsidR="005678AB" w:rsidRPr="00774FA6" w:rsidRDefault="005678AB">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Range of salaries as per data of 2018. </w:t>
      </w:r>
    </w:p>
  </w:footnote>
  <w:footnote w:id="25">
    <w:p w14:paraId="7D6CDEE6" w14:textId="684EE7F4" w:rsidR="005678AB" w:rsidRPr="00774FA6" w:rsidRDefault="005678AB">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The basis for these salaries is 3.890 HRK (approximately </w:t>
      </w:r>
      <w:r w:rsidRPr="00774FA6">
        <w:rPr>
          <w:rStyle w:val="converterresult-toamount"/>
          <w:rFonts w:asciiTheme="minorHAnsi" w:hAnsiTheme="minorHAnsi" w:cstheme="minorHAnsi"/>
        </w:rPr>
        <w:t xml:space="preserve">524 EUR) on which a coefficient per position is applied (in accordance with the Decision on the Amount of the Base for the Calculation of Salaries of State Officials, Official Gazette No. 151/2014). </w:t>
      </w:r>
    </w:p>
  </w:footnote>
  <w:footnote w:id="26">
    <w:p w14:paraId="54B0192F" w14:textId="77777777" w:rsidR="005678AB" w:rsidRPr="00774FA6" w:rsidRDefault="005678AB">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These allowances are regulated in a separate regulation, which </w:t>
      </w:r>
      <w:r w:rsidRPr="00774FA6">
        <w:rPr>
          <w:rFonts w:asciiTheme="minorHAnsi" w:hAnsiTheme="minorHAnsi" w:cstheme="minorHAnsi"/>
          <w:i/>
        </w:rPr>
        <w:t>inter alia</w:t>
      </w:r>
      <w:r w:rsidRPr="00774FA6">
        <w:rPr>
          <w:rFonts w:asciiTheme="minorHAnsi" w:hAnsiTheme="minorHAnsi" w:cstheme="minorHAnsi"/>
        </w:rPr>
        <w:t xml:space="preserve"> provides that state officials, junior officials and other state employees whose rights are not regulated by a collective agreement can receive up to 1.000 HRK (approximately 135 EUR) a month as a “Separate Family Life Fee” and 150 HRK a day (approximately 18 EUR) and reimbursement of overnight stay (upon provision of an invoice) in travel costs.</w:t>
      </w:r>
    </w:p>
  </w:footnote>
  <w:footnote w:id="27">
    <w:p w14:paraId="7AB5465A" w14:textId="43E960C3" w:rsidR="005678AB" w:rsidRPr="00774FA6" w:rsidRDefault="005678AB">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State officials, who have been in position for at least one year, are </w:t>
      </w:r>
      <w:r w:rsidRPr="00774FA6">
        <w:rPr>
          <w:rFonts w:asciiTheme="minorHAnsi" w:eastAsia="MS Gothic" w:hAnsiTheme="minorHAnsi" w:cstheme="minorHAnsi"/>
          <w:color w:val="000000"/>
        </w:rPr>
        <w:t xml:space="preserve">– from the day </w:t>
      </w:r>
      <w:r w:rsidRPr="00774FA6">
        <w:rPr>
          <w:rFonts w:asciiTheme="minorHAnsi" w:hAnsiTheme="minorHAnsi" w:cstheme="minorHAnsi"/>
        </w:rPr>
        <w:t xml:space="preserve">when they cease to perform their duty until they begin to receive a salary on some other basis or until they meet the requirements for retirement </w:t>
      </w:r>
      <w:r w:rsidRPr="00774FA6">
        <w:rPr>
          <w:rFonts w:asciiTheme="minorHAnsi" w:eastAsia="MS Gothic" w:hAnsiTheme="minorHAnsi" w:cstheme="minorHAnsi"/>
          <w:color w:val="000000"/>
        </w:rPr>
        <w:t xml:space="preserve">– </w:t>
      </w:r>
      <w:r w:rsidRPr="00774FA6">
        <w:rPr>
          <w:rFonts w:asciiTheme="minorHAnsi" w:hAnsiTheme="minorHAnsi" w:cstheme="minorHAnsi"/>
        </w:rPr>
        <w:t xml:space="preserve">entitled to a salary equal to the salary for that office for a period of six months, followed by 50% of that salary for the following six months. State officials, who have been in position for less one year but more than three months, are </w:t>
      </w:r>
      <w:r w:rsidRPr="00774FA6">
        <w:rPr>
          <w:rFonts w:asciiTheme="minorHAnsi" w:eastAsia="MS Gothic" w:hAnsiTheme="minorHAnsi" w:cstheme="minorHAnsi"/>
          <w:color w:val="000000"/>
        </w:rPr>
        <w:t xml:space="preserve">– from the day </w:t>
      </w:r>
      <w:r w:rsidRPr="00774FA6">
        <w:rPr>
          <w:rFonts w:asciiTheme="minorHAnsi" w:hAnsiTheme="minorHAnsi" w:cstheme="minorHAnsi"/>
        </w:rPr>
        <w:t xml:space="preserve">when they cease to perform their duty until they begin to receive a salary on some other basis or until they meet the requirements for retirement </w:t>
      </w:r>
      <w:r w:rsidRPr="00774FA6">
        <w:rPr>
          <w:rFonts w:asciiTheme="minorHAnsi" w:eastAsia="MS Gothic" w:hAnsiTheme="minorHAnsi" w:cstheme="minorHAnsi"/>
          <w:color w:val="000000"/>
        </w:rPr>
        <w:t xml:space="preserve">– </w:t>
      </w:r>
      <w:r w:rsidRPr="00774FA6">
        <w:rPr>
          <w:rFonts w:asciiTheme="minorHAnsi" w:hAnsiTheme="minorHAnsi" w:cstheme="minorHAnsi"/>
        </w:rPr>
        <w:t xml:space="preserve">entitled to remuneration for a maximum period of three months in the amount of the salary of an official performing that duty and in the following three months in an amount of 50% of the salary of an official performing that duty. </w:t>
      </w:r>
    </w:p>
  </w:footnote>
  <w:footnote w:id="28">
    <w:p w14:paraId="090676DF" w14:textId="62222E33" w:rsidR="005678AB" w:rsidRPr="00774FA6" w:rsidRDefault="005678AB" w:rsidP="00B94195">
      <w:pPr>
        <w:pStyle w:val="Tekstfusnote"/>
        <w:jc w:val="both"/>
        <w:rPr>
          <w:rFonts w:asciiTheme="minorHAnsi" w:hAnsiTheme="minorHAnsi"/>
        </w:rPr>
      </w:pPr>
      <w:r w:rsidRPr="00774FA6">
        <w:rPr>
          <w:rStyle w:val="Referencafusnote"/>
          <w:rFonts w:asciiTheme="minorHAnsi" w:hAnsiTheme="minorHAnsi"/>
        </w:rPr>
        <w:footnoteRef/>
      </w:r>
      <w:r w:rsidRPr="00774FA6">
        <w:rPr>
          <w:rFonts w:asciiTheme="minorHAnsi" w:hAnsiTheme="minorHAnsi"/>
        </w:rPr>
        <w:t xml:space="preserve"> The GET was however informed that the sole purpose of the latest amendment to the Law on the Prevention of Conflicts of Interest was to align it with the new Law on the State Administration System (which </w:t>
      </w:r>
      <w:r>
        <w:rPr>
          <w:rFonts w:asciiTheme="minorHAnsi" w:hAnsiTheme="minorHAnsi"/>
        </w:rPr>
        <w:t xml:space="preserve">will ultimately </w:t>
      </w:r>
      <w:r w:rsidRPr="00774FA6">
        <w:rPr>
          <w:rFonts w:asciiTheme="minorHAnsi" w:hAnsiTheme="minorHAnsi"/>
        </w:rPr>
        <w:t xml:space="preserve">abolish the function of </w:t>
      </w:r>
      <w:r>
        <w:rPr>
          <w:rFonts w:asciiTheme="minorHAnsi" w:hAnsiTheme="minorHAnsi"/>
        </w:rPr>
        <w:t>assistant</w:t>
      </w:r>
      <w:r w:rsidRPr="00774FA6">
        <w:rPr>
          <w:rFonts w:asciiTheme="minorHAnsi" w:hAnsiTheme="minorHAnsi"/>
        </w:rPr>
        <w:t xml:space="preserve"> minister). </w:t>
      </w:r>
    </w:p>
  </w:footnote>
  <w:footnote w:id="29">
    <w:p w14:paraId="02C31531" w14:textId="0F9D54F6" w:rsidR="005678AB" w:rsidRPr="00774FA6" w:rsidRDefault="005678AB">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According to Article 3 of the Law, the term “official” for purposes of the law includes the President of the Republic, the Prime Minister and other members of the government, deputy ministers, heads of state offices, the Director General/Chief of Police, the Secretary and Deputy Secretary General of the government, the Head and Deputy Head of Office of the Prime Minister, assistant ministers, the spokesperson of the government, heads of state administrative organisations, officials of the Office of the President, as well as the acting officials appointed by the government or President (with the exception of those appointed to the armed forces). Certain provisions of the Law (</w:t>
      </w:r>
      <w:r w:rsidRPr="00774FA6">
        <w:rPr>
          <w:rFonts w:asciiTheme="minorHAnsi" w:hAnsiTheme="minorHAnsi" w:cstheme="minorHAnsi"/>
          <w:i/>
        </w:rPr>
        <w:t>inter alia</w:t>
      </w:r>
      <w:r w:rsidRPr="00774FA6">
        <w:rPr>
          <w:rFonts w:asciiTheme="minorHAnsi" w:hAnsiTheme="minorHAnsi" w:cstheme="minorHAnsi"/>
        </w:rPr>
        <w:t xml:space="preserve"> Articles 8-10 on </w:t>
      </w:r>
      <w:r>
        <w:rPr>
          <w:rFonts w:asciiTheme="minorHAnsi" w:hAnsiTheme="minorHAnsi" w:cstheme="minorHAnsi"/>
        </w:rPr>
        <w:t>financial</w:t>
      </w:r>
      <w:r w:rsidRPr="00774FA6">
        <w:rPr>
          <w:rFonts w:asciiTheme="minorHAnsi" w:hAnsiTheme="minorHAnsi" w:cstheme="minorHAnsi"/>
        </w:rPr>
        <w:t xml:space="preserve"> declarations, title III on the checking of declarations, Articles 42-46 on sanctions) furthermore also apply to senior civil servants appointed by the government. </w:t>
      </w:r>
    </w:p>
  </w:footnote>
  <w:footnote w:id="30">
    <w:p w14:paraId="46E7753C" w14:textId="1C84C273" w:rsidR="005678AB" w:rsidRPr="00774FA6" w:rsidRDefault="005678AB">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See in this context also GRECO’s </w:t>
      </w:r>
      <w:hyperlink r:id="rId5" w:history="1">
        <w:r w:rsidRPr="00774FA6">
          <w:rPr>
            <w:rStyle w:val="Hiperveza"/>
            <w:rFonts w:asciiTheme="minorHAnsi" w:hAnsiTheme="minorHAnsi" w:cstheme="minorHAnsi"/>
          </w:rPr>
          <w:t>Second Compliance Report on Croatia</w:t>
        </w:r>
      </w:hyperlink>
      <w:r w:rsidRPr="00774FA6">
        <w:rPr>
          <w:rFonts w:asciiTheme="minorHAnsi" w:hAnsiTheme="minorHAnsi" w:cstheme="minorHAnsi"/>
        </w:rPr>
        <w:t xml:space="preserve"> of Fourth Evaluation Round, paragraph 42. </w:t>
      </w:r>
    </w:p>
  </w:footnote>
  <w:footnote w:id="31">
    <w:p w14:paraId="2DEA6C85" w14:textId="476BC662" w:rsidR="005678AB" w:rsidRPr="00774FA6" w:rsidRDefault="005678AB" w:rsidP="00F43323">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Pr>
          <w:rFonts w:asciiTheme="minorHAnsi" w:hAnsiTheme="minorHAnsi" w:cstheme="minorHAnsi"/>
        </w:rPr>
        <w:t xml:space="preserve"> </w:t>
      </w:r>
      <w:r w:rsidRPr="00774FA6">
        <w:rPr>
          <w:rFonts w:asciiTheme="minorHAnsi" w:hAnsiTheme="minorHAnsi" w:cstheme="minorHAnsi"/>
        </w:rPr>
        <w:t xml:space="preserve">See GRECO’s </w:t>
      </w:r>
      <w:hyperlink r:id="rId6" w:history="1">
        <w:r w:rsidRPr="00774FA6">
          <w:rPr>
            <w:rStyle w:val="Hiperveza"/>
            <w:rFonts w:asciiTheme="minorHAnsi" w:hAnsiTheme="minorHAnsi" w:cstheme="minorHAnsi"/>
            <w:i/>
          </w:rPr>
          <w:t>Fourth Round Evaluation Report on Croatia</w:t>
        </w:r>
      </w:hyperlink>
      <w:r w:rsidRPr="00774FA6">
        <w:rPr>
          <w:rFonts w:asciiTheme="minorHAnsi" w:hAnsiTheme="minorHAnsi" w:cstheme="minorHAnsi"/>
        </w:rPr>
        <w:t xml:space="preserve"> (June 2014). </w:t>
      </w:r>
    </w:p>
  </w:footnote>
  <w:footnote w:id="32">
    <w:p w14:paraId="36DC6509" w14:textId="6BE766C1" w:rsidR="005678AB" w:rsidRPr="00774FA6" w:rsidRDefault="005678AB" w:rsidP="004108C1">
      <w:pPr>
        <w:pStyle w:val="Tekstfusnote"/>
        <w:jc w:val="both"/>
        <w:rPr>
          <w:rFonts w:asciiTheme="minorHAnsi" w:hAnsiTheme="minorHAnsi"/>
        </w:rPr>
      </w:pPr>
      <w:r w:rsidRPr="00774FA6">
        <w:rPr>
          <w:rStyle w:val="Referencafusnote"/>
          <w:rFonts w:asciiTheme="minorHAnsi" w:hAnsiTheme="minorHAnsi"/>
        </w:rPr>
        <w:footnoteRef/>
      </w:r>
      <w:r w:rsidRPr="00774FA6">
        <w:rPr>
          <w:rFonts w:asciiTheme="minorHAnsi" w:hAnsiTheme="minorHAnsi"/>
        </w:rPr>
        <w:t xml:space="preserve"> Various PTEFs (Deputy Prime Minister, state secretaries and assistant ministers) have indeed sought an opinion of the Commission for the Prevention of Conflicts of Interest, which are made publicly available on the website of the Commission (</w:t>
      </w:r>
      <w:hyperlink r:id="rId7" w:history="1">
        <w:r w:rsidRPr="00774FA6">
          <w:rPr>
            <w:rStyle w:val="Hiperveza"/>
            <w:rFonts w:asciiTheme="minorHAnsi" w:hAnsiTheme="minorHAnsi"/>
          </w:rPr>
          <w:t>www.sukobinteresa.hr/hr/misljenja</w:t>
        </w:r>
      </w:hyperlink>
      <w:r w:rsidRPr="00774FA6">
        <w:rPr>
          <w:rFonts w:asciiTheme="minorHAnsi" w:hAnsiTheme="minorHAnsi"/>
        </w:rPr>
        <w:t xml:space="preserve">). </w:t>
      </w:r>
    </w:p>
  </w:footnote>
  <w:footnote w:id="33">
    <w:p w14:paraId="5C2BD3C1" w14:textId="60A2A70F" w:rsidR="005678AB" w:rsidRPr="00774FA6" w:rsidRDefault="005678AB" w:rsidP="00507B92">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Article 15 of the Law on the Right of Access to Information mentions such issues as state, military, professional or business secrets; personal data protection regulations; hindering criminal proceedings, court proceedings or administrative supervision (etc.). </w:t>
      </w:r>
    </w:p>
  </w:footnote>
  <w:footnote w:id="34">
    <w:p w14:paraId="04569AF2" w14:textId="277D62BE" w:rsidR="005678AB" w:rsidRPr="00774FA6" w:rsidRDefault="005678AB" w:rsidP="00507B92">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Please see for the 2018 Annual Report of the Information Commissioner: </w:t>
      </w:r>
      <w:hyperlink r:id="rId8" w:history="1">
        <w:r w:rsidRPr="00774FA6">
          <w:rPr>
            <w:rStyle w:val="Hiperveza"/>
            <w:rFonts w:asciiTheme="minorHAnsi" w:hAnsiTheme="minorHAnsi" w:cstheme="minorHAnsi"/>
          </w:rPr>
          <w:t>https://www.pristupinfo.hr/hrvatski-sabor-prihvatio-izvjesce-o-provedbi-zppi-za-2018-godinu/</w:t>
        </w:r>
      </w:hyperlink>
      <w:r w:rsidRPr="00774FA6">
        <w:rPr>
          <w:rFonts w:asciiTheme="minorHAnsi" w:hAnsiTheme="minorHAnsi" w:cstheme="minorHAnsi"/>
        </w:rPr>
        <w:t xml:space="preserve"> </w:t>
      </w:r>
    </w:p>
  </w:footnote>
  <w:footnote w:id="35">
    <w:p w14:paraId="3CF7E40E" w14:textId="77777777" w:rsidR="005678AB" w:rsidRPr="00774FA6" w:rsidRDefault="005678AB" w:rsidP="00E347EF">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Weaknesses identified concern insufficient capacities of the Commissioner, insufficient compliance with the legal provisions, inadequate regulation of certain types of access and protection of information (such as business secrets and access to information for the media), insufficient institutional capacity of public authorities, insufficient awareness of citizens of their right to access information, lack of use of the law by journalists and a lack of systematic, proactive publication of information by public authorities. </w:t>
      </w:r>
    </w:p>
  </w:footnote>
  <w:footnote w:id="36">
    <w:p w14:paraId="43511FBB" w14:textId="77777777" w:rsidR="005678AB" w:rsidRPr="00774FA6" w:rsidRDefault="005678AB" w:rsidP="00507B92">
      <w:pPr>
        <w:tabs>
          <w:tab w:val="left" w:pos="709"/>
          <w:tab w:val="num" w:pos="8222"/>
        </w:tabs>
        <w:spacing w:after="0" w:line="240" w:lineRule="auto"/>
        <w:jc w:val="both"/>
        <w:rPr>
          <w:rFonts w:cstheme="minorHAnsi"/>
          <w:sz w:val="20"/>
          <w:szCs w:val="20"/>
          <w:lang w:val="en-GB"/>
        </w:rPr>
      </w:pPr>
      <w:r w:rsidRPr="00774FA6">
        <w:rPr>
          <w:rStyle w:val="Referencafusnote"/>
          <w:rFonts w:cstheme="minorHAnsi"/>
          <w:sz w:val="20"/>
          <w:szCs w:val="20"/>
          <w:lang w:val="en-GB"/>
        </w:rPr>
        <w:footnoteRef/>
      </w:r>
      <w:r w:rsidRPr="00774FA6">
        <w:rPr>
          <w:rFonts w:cstheme="minorHAnsi"/>
          <w:sz w:val="20"/>
          <w:szCs w:val="20"/>
          <w:lang w:val="en-GB"/>
        </w:rPr>
        <w:t xml:space="preserve"> Please see:  </w:t>
      </w:r>
      <w:hyperlink r:id="rId9" w:history="1">
        <w:r w:rsidRPr="00774FA6">
          <w:rPr>
            <w:rStyle w:val="Hiperveza"/>
            <w:rFonts w:cstheme="minorHAnsi"/>
            <w:sz w:val="20"/>
            <w:szCs w:val="20"/>
            <w:lang w:val="en-GB"/>
          </w:rPr>
          <w:t>https://www.opengovpartnership.org/wp-content/uploads/2019/02/Croatia_Action-Plan_2018-2020_EN.pdf</w:t>
        </w:r>
      </w:hyperlink>
      <w:r w:rsidRPr="00774FA6">
        <w:rPr>
          <w:rFonts w:cstheme="minorHAnsi"/>
          <w:sz w:val="20"/>
          <w:szCs w:val="20"/>
          <w:lang w:val="en-GB"/>
        </w:rPr>
        <w:t xml:space="preserve">, which </w:t>
      </w:r>
      <w:r w:rsidRPr="00774FA6">
        <w:rPr>
          <w:rFonts w:cstheme="minorHAnsi"/>
          <w:i/>
          <w:sz w:val="20"/>
          <w:szCs w:val="20"/>
          <w:lang w:val="en-GB"/>
        </w:rPr>
        <w:t>inter alia</w:t>
      </w:r>
      <w:r w:rsidRPr="00774FA6">
        <w:rPr>
          <w:rFonts w:cstheme="minorHAnsi"/>
          <w:sz w:val="20"/>
          <w:szCs w:val="20"/>
          <w:lang w:val="en-GB"/>
        </w:rPr>
        <w:t xml:space="preserve"> notes that  “</w:t>
      </w:r>
      <w:r w:rsidRPr="00774FA6">
        <w:rPr>
          <w:rFonts w:eastAsia="Times New Roman" w:cstheme="minorHAnsi"/>
          <w:sz w:val="20"/>
          <w:szCs w:val="20"/>
          <w:lang w:val="en-GB"/>
        </w:rPr>
        <w:t>In spite of the increased quantity of publicly accessible information on the internet pages of public authority bodies, and the availability of information on demand to citizens, they and other users cannot yet rely on the fact that all information will be easily or quickly accessible. This is clear from the number of complaints due to administrative silence or misrepresentations of the provisions of the Act on Access to Information when approaching public authorities. (…) It is necessary to continue to encourage and monitor the proactive publication of information by public authorities and their c</w:t>
      </w:r>
      <w:r w:rsidRPr="00774FA6">
        <w:rPr>
          <w:rFonts w:cstheme="minorHAnsi"/>
          <w:sz w:val="20"/>
          <w:szCs w:val="20"/>
          <w:lang w:val="en-GB"/>
        </w:rPr>
        <w:t>ompetent conduct according to the exigencies of existing legal deadlines”</w:t>
      </w:r>
    </w:p>
  </w:footnote>
  <w:footnote w:id="37">
    <w:p w14:paraId="318EDC70" w14:textId="28F2850F" w:rsidR="005678AB" w:rsidRPr="00774FA6" w:rsidRDefault="005678AB" w:rsidP="00BC0ABC">
      <w:pPr>
        <w:pStyle w:val="Tekstfusnote"/>
        <w:jc w:val="both"/>
        <w:rPr>
          <w:rFonts w:asciiTheme="minorHAnsi" w:hAnsiTheme="minorHAnsi"/>
        </w:rPr>
      </w:pPr>
      <w:r w:rsidRPr="00774FA6">
        <w:rPr>
          <w:rStyle w:val="Referencafusnote"/>
          <w:rFonts w:asciiTheme="minorHAnsi" w:hAnsiTheme="minorHAnsi"/>
        </w:rPr>
        <w:footnoteRef/>
      </w:r>
      <w:r w:rsidRPr="00774FA6">
        <w:rPr>
          <w:rFonts w:asciiTheme="minorHAnsi" w:hAnsiTheme="minorHAnsi"/>
        </w:rPr>
        <w:t xml:space="preserve"> The GET was informed that, in 2018, out of 18 092 requests submitted, 94,58% were granted within the legal deadlines. Public authorities denied requests for access to information in 780 cases (4.4%) and dismissed the request in 420 cases (2.37%). This resulted in 1010 complaints submitted to the Information Commissioner as a second instance body. This number, although lower than in 2017, is significantly higher than in the period 2012-2016 (when on average 640 complaints were submitted to the Information Commissioner annually). </w:t>
      </w:r>
    </w:p>
  </w:footnote>
  <w:footnote w:id="38">
    <w:p w14:paraId="5B9B0DFB" w14:textId="77777777" w:rsidR="005678AB" w:rsidRPr="00774FA6" w:rsidRDefault="005678AB" w:rsidP="000D0F71">
      <w:pPr>
        <w:pStyle w:val="Tekstfusnote"/>
        <w:jc w:val="both"/>
        <w:rPr>
          <w:rFonts w:asciiTheme="minorHAnsi" w:hAnsiTheme="minorHAnsi" w:cstheme="minorHAnsi"/>
          <w:lang w:eastAsia="fr-FR"/>
        </w:rPr>
      </w:pPr>
      <w:r w:rsidRPr="00774FA6">
        <w:rPr>
          <w:rStyle w:val="Referencafusnote"/>
          <w:rFonts w:asciiTheme="minorHAnsi" w:hAnsiTheme="minorHAnsi" w:cstheme="minorHAnsi"/>
        </w:rPr>
        <w:footnoteRef/>
      </w:r>
      <w:r w:rsidRPr="00774FA6">
        <w:rPr>
          <w:rFonts w:asciiTheme="minorHAnsi" w:hAnsiTheme="minorHAnsi" w:cstheme="minorHAnsi"/>
        </w:rPr>
        <w:t xml:space="preserve"> Code of Practice on Public Consultation in Drafting Legal Regulations: </w:t>
      </w:r>
      <w:hyperlink r:id="rId10" w:history="1">
        <w:r w:rsidRPr="00774FA6">
          <w:rPr>
            <w:rStyle w:val="Hiperveza"/>
            <w:rFonts w:asciiTheme="minorHAnsi" w:hAnsiTheme="minorHAnsi" w:cstheme="minorHAnsi"/>
          </w:rPr>
          <w:t>http://www.uzuvrh.hr/userfiles/file/code%20of%20practice%20on%20consultation-croatia.pdf</w:t>
        </w:r>
      </w:hyperlink>
      <w:r w:rsidRPr="00774FA6">
        <w:rPr>
          <w:rFonts w:asciiTheme="minorHAnsi" w:hAnsiTheme="minorHAnsi" w:cstheme="minorHAnsi"/>
        </w:rPr>
        <w:t xml:space="preserve"> </w:t>
      </w:r>
    </w:p>
  </w:footnote>
  <w:footnote w:id="39">
    <w:p w14:paraId="6537C2A3" w14:textId="2AE8DA07" w:rsidR="005678AB" w:rsidRPr="00774FA6" w:rsidRDefault="005678AB" w:rsidP="00C8056B">
      <w:pPr>
        <w:pStyle w:val="Tekstfusnote"/>
        <w:jc w:val="both"/>
        <w:rPr>
          <w:rFonts w:asciiTheme="minorHAnsi" w:hAnsiTheme="minorHAnsi"/>
        </w:rPr>
      </w:pPr>
      <w:r w:rsidRPr="00774FA6">
        <w:rPr>
          <w:rStyle w:val="Referencafusnote"/>
          <w:rFonts w:asciiTheme="minorHAnsi" w:hAnsiTheme="minorHAnsi"/>
        </w:rPr>
        <w:footnoteRef/>
      </w:r>
      <w:r w:rsidRPr="00774FA6">
        <w:rPr>
          <w:rFonts w:asciiTheme="minorHAnsi" w:hAnsiTheme="minorHAnsi"/>
        </w:rPr>
        <w:t xml:space="preserve"> In the last two years the Parliament has established two committees of inquiry, namely the committee of inquiry for establishing liability for the results of management and disposal of financial and other resources of the </w:t>
      </w:r>
      <w:r>
        <w:rPr>
          <w:rFonts w:asciiTheme="minorHAnsi" w:hAnsiTheme="minorHAnsi"/>
        </w:rPr>
        <w:t>I</w:t>
      </w:r>
      <w:r w:rsidRPr="00774FA6">
        <w:rPr>
          <w:rFonts w:asciiTheme="minorHAnsi" w:hAnsiTheme="minorHAnsi"/>
        </w:rPr>
        <w:t xml:space="preserve">mmunological </w:t>
      </w:r>
      <w:r>
        <w:rPr>
          <w:rFonts w:asciiTheme="minorHAnsi" w:hAnsiTheme="minorHAnsi"/>
        </w:rPr>
        <w:t>I</w:t>
      </w:r>
      <w:r w:rsidRPr="00774FA6">
        <w:rPr>
          <w:rFonts w:asciiTheme="minorHAnsi" w:hAnsiTheme="minorHAnsi"/>
        </w:rPr>
        <w:t xml:space="preserve">nstitute (which was established in early 2017 and issued a report in early 2018) and the committee of inquiry for establishing the fact concerning the circumstances of the creation of the business concern Agrokor, its present day market position and occurrence of its business problems (which was established in October 2017. The latter committee terminated its work when a decision was taken to launch a criminal investigation against the ex-CEO and other members of the management board of Agrokor (as the Law on Inquiry Committee stipulates that a committee of inquiry is to immediately cease its operations if legal proceedings are instituted on any matter in relation to which the committee was founded). </w:t>
      </w:r>
    </w:p>
  </w:footnote>
  <w:footnote w:id="40">
    <w:p w14:paraId="58C28BBF" w14:textId="77777777" w:rsidR="005678AB" w:rsidRPr="00774FA6" w:rsidRDefault="005678AB" w:rsidP="00C16659">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Any natural or legal person can report irregularities in the management of budget resources through a dedicated e-mail address (</w:t>
      </w:r>
      <w:hyperlink r:id="rId11" w:history="1">
        <w:r w:rsidRPr="00774FA6">
          <w:rPr>
            <w:rStyle w:val="Hiperveza"/>
            <w:rFonts w:asciiTheme="minorHAnsi" w:hAnsiTheme="minorHAnsi" w:cstheme="minorHAnsi"/>
          </w:rPr>
          <w:t>neprovilnosti@mfin.hr</w:t>
        </w:r>
      </w:hyperlink>
      <w:r w:rsidRPr="00774FA6">
        <w:rPr>
          <w:rFonts w:asciiTheme="minorHAnsi" w:hAnsiTheme="minorHAnsi" w:cstheme="minorHAnsi"/>
        </w:rPr>
        <w:t xml:space="preserve">). </w:t>
      </w:r>
    </w:p>
  </w:footnote>
  <w:footnote w:id="41">
    <w:p w14:paraId="0BD4C73E" w14:textId="14B1937F" w:rsidR="005678AB" w:rsidRPr="00774FA6" w:rsidRDefault="005678AB" w:rsidP="00F43323">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In 2018, the Financial and Budget Supervision Sector of the Ministry of Finance carried out 211 supervision procedures, out of which in 15 procedures there was a reasonable suspicion of a criminal offence having been committed (which were forwarded to the State Attorney’s Office). In 87 other proceedings actions contrary to the legal provisions were identified, for which fines can be imposed upon a legal person (in an amount of 67 568 to 270 270 EUR) or a responsible person in the legal person (in an amount of 6 758 to 13 514 EUR).</w:t>
      </w:r>
    </w:p>
  </w:footnote>
  <w:footnote w:id="42">
    <w:p w14:paraId="1242E141" w14:textId="023E2C46" w:rsidR="005678AB" w:rsidRPr="00774FA6" w:rsidRDefault="005678AB" w:rsidP="00F43323">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See footnote </w:t>
      </w:r>
      <w:r>
        <w:rPr>
          <w:rFonts w:asciiTheme="minorHAnsi" w:hAnsiTheme="minorHAnsi" w:cstheme="minorHAnsi"/>
        </w:rPr>
        <w:t>31</w:t>
      </w:r>
      <w:r w:rsidRPr="00774FA6">
        <w:rPr>
          <w:rFonts w:asciiTheme="minorHAnsi" w:hAnsiTheme="minorHAnsi" w:cstheme="minorHAnsi"/>
        </w:rPr>
        <w:t xml:space="preserve"> above. </w:t>
      </w:r>
    </w:p>
  </w:footnote>
  <w:footnote w:id="43">
    <w:p w14:paraId="2334FAFC" w14:textId="660DF804" w:rsidR="005678AB" w:rsidRPr="00E347EF" w:rsidRDefault="005678AB" w:rsidP="00E347EF">
      <w:pPr>
        <w:pStyle w:val="Tekstfusnote"/>
        <w:jc w:val="both"/>
        <w:rPr>
          <w:rFonts w:asciiTheme="minorHAnsi" w:hAnsiTheme="minorHAnsi" w:cstheme="minorHAnsi"/>
        </w:rPr>
      </w:pPr>
      <w:r w:rsidRPr="00E347EF">
        <w:rPr>
          <w:rStyle w:val="Referencafusnote"/>
          <w:rFonts w:asciiTheme="minorHAnsi" w:hAnsiTheme="minorHAnsi" w:cstheme="minorHAnsi"/>
        </w:rPr>
        <w:footnoteRef/>
      </w:r>
      <w:r w:rsidRPr="00E347EF">
        <w:rPr>
          <w:rFonts w:asciiTheme="minorHAnsi" w:hAnsiTheme="minorHAnsi" w:cstheme="minorHAnsi"/>
        </w:rPr>
        <w:t xml:space="preserve"> </w:t>
      </w:r>
      <w:r>
        <w:rPr>
          <w:rFonts w:asciiTheme="minorHAnsi" w:hAnsiTheme="minorHAnsi" w:cstheme="minorHAnsi"/>
        </w:rPr>
        <w:t>This c</w:t>
      </w:r>
      <w:r w:rsidRPr="00E347EF">
        <w:rPr>
          <w:rFonts w:asciiTheme="minorHAnsi" w:hAnsiTheme="minorHAnsi" w:cstheme="minorHAnsi"/>
        </w:rPr>
        <w:t xml:space="preserve">overs family members (spouses/partners, </w:t>
      </w:r>
      <w:r>
        <w:rPr>
          <w:rFonts w:asciiTheme="minorHAnsi" w:hAnsiTheme="minorHAnsi" w:cstheme="minorHAnsi"/>
        </w:rPr>
        <w:t xml:space="preserve">children, </w:t>
      </w:r>
      <w:r w:rsidRPr="00E347EF">
        <w:rPr>
          <w:rFonts w:asciiTheme="minorHAnsi" w:hAnsiTheme="minorHAnsi" w:cstheme="minorHAnsi"/>
        </w:rPr>
        <w:t>parents, grand-parents and descendants, siblings and adopted parents or children, as well as other persons who on other grounds and according to other circumstances may justifiably be deemed to have connections of interest with the official</w:t>
      </w:r>
      <w:r>
        <w:rPr>
          <w:rFonts w:asciiTheme="minorHAnsi" w:hAnsiTheme="minorHAnsi" w:cstheme="minorHAnsi"/>
        </w:rPr>
        <w:t xml:space="preserve">. </w:t>
      </w:r>
    </w:p>
  </w:footnote>
  <w:footnote w:id="44">
    <w:p w14:paraId="284BE316" w14:textId="77777777" w:rsidR="005678AB" w:rsidRPr="00774FA6" w:rsidRDefault="005678AB" w:rsidP="00507B92">
      <w:pPr>
        <w:tabs>
          <w:tab w:val="left" w:pos="709"/>
        </w:tabs>
        <w:spacing w:after="0" w:line="240" w:lineRule="auto"/>
        <w:jc w:val="both"/>
        <w:rPr>
          <w:rFonts w:cstheme="minorHAnsi"/>
          <w:sz w:val="20"/>
          <w:szCs w:val="20"/>
          <w:lang w:val="en-GB"/>
        </w:rPr>
      </w:pPr>
      <w:r w:rsidRPr="00774FA6">
        <w:rPr>
          <w:rStyle w:val="Referencafusnote"/>
          <w:rFonts w:cstheme="minorHAnsi"/>
          <w:sz w:val="20"/>
          <w:szCs w:val="20"/>
          <w:lang w:val="en-GB"/>
        </w:rPr>
        <w:footnoteRef/>
      </w:r>
      <w:r w:rsidRPr="00774FA6">
        <w:rPr>
          <w:rFonts w:cstheme="minorHAnsi"/>
          <w:sz w:val="20"/>
          <w:szCs w:val="20"/>
          <w:lang w:val="en-GB"/>
        </w:rPr>
        <w:t xml:space="preserve"> Prohibited actions according to the LCI are: to </w:t>
      </w:r>
      <w:r w:rsidRPr="00774FA6">
        <w:rPr>
          <w:rFonts w:cstheme="minorHAnsi"/>
          <w:sz w:val="20"/>
          <w:szCs w:val="20"/>
          <w:lang w:val="en-GB" w:eastAsia="hr-HR"/>
        </w:rPr>
        <w:t>receive or solicit benefits or a promise of benefits for exercising public office; to obtain or receive a right if the principle of equality before the law is violated; to misuse the special rights of an official which stem from or are necessary for exercising public office; to receive additional compensation for tasks stemming from exercising public office; to solicit, accept or receive something of value or a service for voting on any issue, or to influence a decision made by a body or a person for personal gain or the gain of a connected person; to promise employment or any other right in exchange for a gift or the promise of a gift; to exert influence in obtaining jobs or contracts through public procurement; to use privileged information about the activities of state bodies for personal gain or for the gain of a connected person; to use an official position in any other manner by influencing decisions of legislative, executive or judicial authorities in order to achieve personal gain or the gain of a connected person, a privilege or a right, to conclude a legal affair, or in any other manner to receive benefits of personal interest or of interest to another connected person.</w:t>
      </w:r>
    </w:p>
  </w:footnote>
  <w:footnote w:id="45">
    <w:p w14:paraId="496AC081" w14:textId="15DB597F" w:rsidR="005678AB" w:rsidRPr="00774FA6" w:rsidRDefault="005678AB" w:rsidP="004A113A">
      <w:pPr>
        <w:pStyle w:val="Tekstfusnote"/>
        <w:jc w:val="both"/>
        <w:rPr>
          <w:rFonts w:asciiTheme="minorHAnsi" w:hAnsiTheme="minorHAnsi"/>
        </w:rPr>
      </w:pPr>
      <w:r w:rsidRPr="00774FA6">
        <w:rPr>
          <w:rStyle w:val="Referencafusnote"/>
          <w:rFonts w:asciiTheme="minorHAnsi" w:hAnsiTheme="minorHAnsi"/>
        </w:rPr>
        <w:footnoteRef/>
      </w:r>
      <w:r w:rsidRPr="00774FA6">
        <w:rPr>
          <w:rFonts w:asciiTheme="minorHAnsi" w:hAnsiTheme="minorHAnsi"/>
        </w:rPr>
        <w:t xml:space="preserve"> See in this respect also the </w:t>
      </w:r>
      <w:hyperlink r:id="rId12" w:history="1">
        <w:r w:rsidRPr="00774FA6">
          <w:rPr>
            <w:rStyle w:val="Hiperveza"/>
            <w:rFonts w:asciiTheme="minorHAnsi" w:hAnsiTheme="minorHAnsi"/>
          </w:rPr>
          <w:t>Second Compliance Report</w:t>
        </w:r>
      </w:hyperlink>
      <w:r w:rsidRPr="00774FA6">
        <w:rPr>
          <w:rFonts w:asciiTheme="minorHAnsi" w:hAnsiTheme="minorHAnsi"/>
        </w:rPr>
        <w:t xml:space="preserve"> of the Fourth Evaluation Round in respect of Croatia, para.  14.  </w:t>
      </w:r>
    </w:p>
  </w:footnote>
  <w:footnote w:id="46">
    <w:p w14:paraId="16A711BC" w14:textId="7A1501B4" w:rsidR="005678AB" w:rsidRPr="00774FA6" w:rsidRDefault="005678AB" w:rsidP="00507B92">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This part of the recommendation was assessed to have been implemented in the Fourth Round Compliance Report, when the authorities of Croatia reported that, in spite of the economic recession, five new permanent employees had been added to the staff of the Commission. Other important steps had also been taken to improve the IT system of the Commission, e.g. computerisation of work processes enabling the tracking of a case and its deadlines, setting-up of a registry of officials, development of electronic forms with drop-down menus and tailored guidance for their completion, launching of a new website of the Commission.</w:t>
      </w:r>
    </w:p>
  </w:footnote>
  <w:footnote w:id="47">
    <w:p w14:paraId="608124D1" w14:textId="31010941" w:rsidR="005678AB" w:rsidRPr="00774FA6" w:rsidRDefault="005678AB" w:rsidP="00F43323">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GRECO, </w:t>
      </w:r>
      <w:hyperlink r:id="rId13" w:history="1">
        <w:r w:rsidRPr="00774FA6">
          <w:rPr>
            <w:rStyle w:val="Hiperveza"/>
            <w:rFonts w:asciiTheme="minorHAnsi" w:hAnsiTheme="minorHAnsi" w:cstheme="minorHAnsi"/>
            <w:i/>
          </w:rPr>
          <w:t>First Evaluation Round Report on Croatia</w:t>
        </w:r>
      </w:hyperlink>
      <w:r w:rsidRPr="00774FA6">
        <w:rPr>
          <w:rFonts w:asciiTheme="minorHAnsi" w:hAnsiTheme="minorHAnsi" w:cstheme="minorHAnsi"/>
        </w:rPr>
        <w:t xml:space="preserve"> (May 2002), paragraphs 160-163.  </w:t>
      </w:r>
    </w:p>
  </w:footnote>
  <w:footnote w:id="48">
    <w:p w14:paraId="383D00D2" w14:textId="24D5D9D4" w:rsidR="005678AB" w:rsidRPr="00774FA6" w:rsidRDefault="005678AB" w:rsidP="00507B92">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Guiding principle 6 calls upon member states “to limit immunity from investigation, prosecution or adjudication of corruption offences in the degree necessary in a democratic society”. </w:t>
      </w:r>
    </w:p>
  </w:footnote>
  <w:footnote w:id="49">
    <w:p w14:paraId="68E9F03C" w14:textId="42010F8A" w:rsidR="005678AB" w:rsidRPr="00774FA6" w:rsidRDefault="005678AB" w:rsidP="00F43323">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See footnote </w:t>
      </w:r>
      <w:r>
        <w:rPr>
          <w:rFonts w:asciiTheme="minorHAnsi" w:hAnsiTheme="minorHAnsi" w:cstheme="minorHAnsi"/>
        </w:rPr>
        <w:t>31</w:t>
      </w:r>
      <w:r w:rsidRPr="00774FA6">
        <w:rPr>
          <w:rFonts w:asciiTheme="minorHAnsi" w:hAnsiTheme="minorHAnsi" w:cstheme="minorHAnsi"/>
        </w:rPr>
        <w:t xml:space="preserve"> above. </w:t>
      </w:r>
    </w:p>
  </w:footnote>
  <w:footnote w:id="50">
    <w:p w14:paraId="3BAC19A5" w14:textId="1AD55395" w:rsidR="005678AB" w:rsidRPr="00774FA6" w:rsidRDefault="005678AB" w:rsidP="00D63CB8">
      <w:pPr>
        <w:pStyle w:val="Tekstfusnote"/>
        <w:jc w:val="both"/>
        <w:rPr>
          <w:rFonts w:asciiTheme="minorHAnsi" w:hAnsiTheme="minorHAnsi"/>
        </w:rPr>
      </w:pPr>
      <w:r w:rsidRPr="00774FA6">
        <w:rPr>
          <w:rStyle w:val="Referencafusnote"/>
          <w:rFonts w:asciiTheme="minorHAnsi" w:hAnsiTheme="minorHAnsi"/>
        </w:rPr>
        <w:footnoteRef/>
      </w:r>
      <w:r w:rsidRPr="00774FA6">
        <w:rPr>
          <w:rFonts w:asciiTheme="minorHAnsi" w:hAnsiTheme="minorHAnsi"/>
        </w:rPr>
        <w:t xml:space="preserve"> </w:t>
      </w:r>
      <w:r w:rsidRPr="00774FA6">
        <w:rPr>
          <w:rFonts w:asciiTheme="minorHAnsi" w:hAnsiTheme="minorHAnsi" w:cstheme="minorHAnsi"/>
        </w:rPr>
        <w:t>In this connection, the authorities also state that in 2018 the Constitutional Court did not accept the proposal to initiate the procedure for reviewing the conformity of Article 34 of the Law on Government with the Constitution.</w:t>
      </w:r>
    </w:p>
  </w:footnote>
  <w:footnote w:id="51">
    <w:p w14:paraId="5B3A09E4" w14:textId="77777777" w:rsidR="005678AB" w:rsidRPr="00774FA6" w:rsidRDefault="005678AB" w:rsidP="00CF3F9F">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These seven directorates are</w:t>
      </w:r>
      <w:r w:rsidRPr="00774FA6">
        <w:rPr>
          <w:rFonts w:asciiTheme="minorHAnsi" w:eastAsiaTheme="majorEastAsia" w:hAnsiTheme="minorHAnsi" w:cstheme="minorHAnsi"/>
          <w:bCs/>
        </w:rPr>
        <w:t xml:space="preserve"> the Uniformed Police Directorate, Criminal Police Directorate (in which the Police National Office for the Suppression of Corruption and Organised Crime is located), Border Police Directorate, the Special Security Affairs Directorate, the Special Police Command, the Operational Communications Centre and the Police Academy.</w:t>
      </w:r>
    </w:p>
  </w:footnote>
  <w:footnote w:id="52">
    <w:p w14:paraId="2C7A8433" w14:textId="5FD58B6E" w:rsidR="005678AB" w:rsidRPr="007A42EA" w:rsidRDefault="005678AB">
      <w:pPr>
        <w:pStyle w:val="Tekstfusnote"/>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See </w:t>
      </w:r>
      <w:r w:rsidRPr="007A42EA">
        <w:rPr>
          <w:rFonts w:asciiTheme="minorHAnsi" w:hAnsiTheme="minorHAnsi" w:cstheme="minorHAnsi"/>
        </w:rPr>
        <w:t xml:space="preserve">footnote 33 above. </w:t>
      </w:r>
    </w:p>
  </w:footnote>
  <w:footnote w:id="53">
    <w:p w14:paraId="5C9A5B46" w14:textId="2263BABE" w:rsidR="005678AB" w:rsidRPr="00774FA6" w:rsidRDefault="005678AB" w:rsidP="00507B92">
      <w:pPr>
        <w:pStyle w:val="Tekstfusnote"/>
        <w:jc w:val="both"/>
        <w:rPr>
          <w:rFonts w:asciiTheme="minorHAnsi" w:hAnsiTheme="minorHAnsi" w:cstheme="minorHAnsi"/>
        </w:rPr>
      </w:pPr>
      <w:r w:rsidRPr="007A42EA">
        <w:rPr>
          <w:rStyle w:val="Referencafusnote"/>
          <w:rFonts w:asciiTheme="minorHAnsi" w:hAnsiTheme="minorHAnsi" w:cstheme="minorHAnsi"/>
        </w:rPr>
        <w:footnoteRef/>
      </w:r>
      <w:r w:rsidRPr="007A42EA">
        <w:rPr>
          <w:rFonts w:asciiTheme="minorHAnsi" w:hAnsiTheme="minorHAnsi" w:cstheme="minorHAnsi"/>
        </w:rPr>
        <w:t xml:space="preserve"> See footnote 5 above</w:t>
      </w:r>
      <w:r w:rsidRPr="00774FA6">
        <w:rPr>
          <w:rFonts w:asciiTheme="minorHAnsi" w:hAnsiTheme="minorHAnsi" w:cstheme="minorHAnsi"/>
        </w:rPr>
        <w:t xml:space="preserve">. </w:t>
      </w:r>
    </w:p>
  </w:footnote>
  <w:footnote w:id="54">
    <w:p w14:paraId="6D1CEFE4" w14:textId="57FB0F21" w:rsidR="005678AB" w:rsidRPr="00774FA6" w:rsidRDefault="005678AB" w:rsidP="00C16659">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Friedrich Ebert Stiftung, </w:t>
      </w:r>
      <w:hyperlink r:id="rId14" w:history="1">
        <w:r w:rsidRPr="00774FA6">
          <w:rPr>
            <w:rStyle w:val="Hiperveza"/>
            <w:rFonts w:asciiTheme="minorHAnsi" w:hAnsiTheme="minorHAnsi" w:cstheme="minorHAnsi"/>
            <w:i/>
          </w:rPr>
          <w:t>Youth Study Croatia</w:t>
        </w:r>
      </w:hyperlink>
      <w:r w:rsidRPr="00774FA6">
        <w:rPr>
          <w:rFonts w:asciiTheme="minorHAnsi" w:hAnsiTheme="minorHAnsi" w:cstheme="minorHAnsi"/>
          <w:i/>
        </w:rPr>
        <w:t xml:space="preserve"> 2018/2019.</w:t>
      </w:r>
      <w:r w:rsidRPr="00774FA6">
        <w:rPr>
          <w:rFonts w:asciiTheme="minorHAnsi" w:hAnsiTheme="minorHAnsi" w:cstheme="minorHAnsi"/>
        </w:rPr>
        <w:t xml:space="preserve"> </w:t>
      </w:r>
    </w:p>
  </w:footnote>
  <w:footnote w:id="55">
    <w:p w14:paraId="6EAACC7E" w14:textId="082BCCE1" w:rsidR="005678AB" w:rsidRPr="00774FA6" w:rsidRDefault="005678AB" w:rsidP="00F43323">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For the Code of Ethics for Civil Servants, please see: </w:t>
      </w:r>
      <w:hyperlink r:id="rId15" w:history="1">
        <w:r w:rsidRPr="00774FA6">
          <w:rPr>
            <w:rStyle w:val="Hiperveza"/>
            <w:rFonts w:asciiTheme="minorHAnsi" w:hAnsiTheme="minorHAnsi" w:cstheme="minorHAnsi"/>
          </w:rPr>
          <w:t>https://vlada.gov.hr/UserDocsImages/2016/Glavno%20tajništvo/ENG/documents%20in%20english/Code%20of%20Ethics%20for%20Civil%20Servants.pdf</w:t>
        </w:r>
      </w:hyperlink>
      <w:r w:rsidRPr="00774FA6">
        <w:rPr>
          <w:rFonts w:asciiTheme="minorHAnsi" w:hAnsiTheme="minorHAnsi" w:cstheme="minorHAnsi"/>
        </w:rPr>
        <w:t xml:space="preserve">. </w:t>
      </w:r>
    </w:p>
  </w:footnote>
  <w:footnote w:id="56">
    <w:p w14:paraId="28AC7867" w14:textId="3B2CDA00" w:rsidR="005678AB" w:rsidRPr="00774FA6" w:rsidRDefault="005678AB" w:rsidP="00CF3F9F">
      <w:pPr>
        <w:tabs>
          <w:tab w:val="left" w:pos="709"/>
        </w:tabs>
        <w:spacing w:after="0" w:line="240" w:lineRule="auto"/>
        <w:jc w:val="both"/>
        <w:rPr>
          <w:rFonts w:cstheme="minorHAnsi"/>
          <w:sz w:val="20"/>
          <w:szCs w:val="20"/>
          <w:lang w:val="en-GB"/>
        </w:rPr>
      </w:pPr>
      <w:r w:rsidRPr="00774FA6">
        <w:rPr>
          <w:rStyle w:val="Referencafusnote"/>
          <w:rFonts w:cstheme="minorHAnsi"/>
          <w:sz w:val="20"/>
          <w:szCs w:val="20"/>
          <w:lang w:val="en-GB"/>
        </w:rPr>
        <w:footnoteRef/>
      </w:r>
      <w:r w:rsidRPr="00774FA6">
        <w:rPr>
          <w:rFonts w:cstheme="minorHAnsi"/>
          <w:sz w:val="20"/>
          <w:szCs w:val="20"/>
          <w:lang w:val="en-GB"/>
        </w:rPr>
        <w:t xml:space="preserve"> </w:t>
      </w:r>
      <w:r w:rsidRPr="00774FA6">
        <w:rPr>
          <w:rFonts w:eastAsiaTheme="majorEastAsia" w:cstheme="minorHAnsi"/>
          <w:bCs/>
          <w:sz w:val="20"/>
          <w:szCs w:val="20"/>
          <w:lang w:val="en-GB"/>
        </w:rPr>
        <w:t xml:space="preserve">For example, the basic police training at the Josip Jović Police School includes one hour on abuse of position and/or power, taking and giving bribes etc. as part of the course on Criminal Law and one hour as part of the course on Basic Knowledge of Criminalistics and Criminal investigations; a specialised five-day Seminar on Economic Crime and Corruption was organised in 2018 by the Department for Professional Development and Specialisation, as part of the specialist undergraduate study in criminalistics at the Police College. </w:t>
      </w:r>
    </w:p>
  </w:footnote>
  <w:footnote w:id="57">
    <w:p w14:paraId="330C2966" w14:textId="77777777" w:rsidR="005678AB" w:rsidRPr="00774FA6" w:rsidRDefault="005678AB" w:rsidP="00C16659">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w:t>
      </w:r>
      <w:r w:rsidRPr="00774FA6">
        <w:rPr>
          <w:rFonts w:asciiTheme="minorHAnsi" w:eastAsiaTheme="majorEastAsia" w:hAnsiTheme="minorHAnsi" w:cstheme="minorHAnsi"/>
          <w:bCs/>
        </w:rPr>
        <w:t xml:space="preserve">Two-thirds of the 63 students enrolled in these studies are following the optional subject “Police Ethics”. </w:t>
      </w:r>
    </w:p>
  </w:footnote>
  <w:footnote w:id="58">
    <w:p w14:paraId="1E907ED1" w14:textId="132425F3" w:rsidR="005678AB" w:rsidRPr="00774FA6" w:rsidRDefault="005678AB" w:rsidP="000D61A5">
      <w:pPr>
        <w:pStyle w:val="Tekstfusnote"/>
        <w:jc w:val="both"/>
        <w:rPr>
          <w:rFonts w:asciiTheme="minorHAnsi" w:hAnsiTheme="minorHAnsi"/>
        </w:rPr>
      </w:pPr>
      <w:r w:rsidRPr="00774FA6">
        <w:rPr>
          <w:rStyle w:val="Referencafusnote"/>
          <w:rFonts w:asciiTheme="minorHAnsi" w:hAnsiTheme="minorHAnsi"/>
        </w:rPr>
        <w:footnoteRef/>
      </w:r>
      <w:r w:rsidRPr="00774FA6">
        <w:rPr>
          <w:rFonts w:asciiTheme="minorHAnsi" w:hAnsiTheme="minorHAnsi"/>
        </w:rPr>
        <w:t xml:space="preserve"> In the statement, particular attention is furthermore devoted to the need to keep information acquired in the course of police duties confidential, the rules on secondary activities and political activities. </w:t>
      </w:r>
    </w:p>
  </w:footnote>
  <w:footnote w:id="59">
    <w:p w14:paraId="71BCE396" w14:textId="77777777" w:rsidR="005678AB" w:rsidRPr="00774FA6" w:rsidRDefault="005678AB" w:rsidP="00C16659">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In Article 47 of the Police Act, it is in this connection prescribed that “Any person who is convicted for a criminal offence committed for personal gain or impure intentions by a legally effective decision is not worthy to perform the police service, as well as person punished for a misdemeanour against public law and order with the elements of violence or some other misdemeanour making him/her unsuitable for performing police services or persons whose conduct to date, habits or inclinations show a lack of reliability required to perform the service”. </w:t>
      </w:r>
    </w:p>
  </w:footnote>
  <w:footnote w:id="60">
    <w:p w14:paraId="7673F417" w14:textId="77777777" w:rsidR="005678AB" w:rsidRPr="00774FA6" w:rsidRDefault="005678AB" w:rsidP="00C16659">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If the position to which they are recruited requires completed secondary education, the traineeship will last for six months; in case of an academic degree, the traineeship will last 12 months.</w:t>
      </w:r>
    </w:p>
  </w:footnote>
  <w:footnote w:id="61">
    <w:p w14:paraId="36603A2B" w14:textId="77777777" w:rsidR="005678AB" w:rsidRPr="00774FA6" w:rsidRDefault="005678AB" w:rsidP="000D4A19">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The Director General is to have at least 15 years’ work experience in the police, of which at least 10 in a managerial position and must have acquired or passed the rank of chief police advisor (Article 59, Police Act).</w:t>
      </w:r>
    </w:p>
  </w:footnote>
  <w:footnote w:id="62">
    <w:p w14:paraId="5B6C3EE3" w14:textId="1A6A30FB" w:rsidR="005678AB" w:rsidRPr="00774FA6" w:rsidRDefault="005678AB">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For these positions at least 15 years’ work experience, of which 10 years in a managerial position is required, with candidates having to have acquired or passed the rank of police adviser (Article 61, Police Act). </w:t>
      </w:r>
    </w:p>
  </w:footnote>
  <w:footnote w:id="63">
    <w:p w14:paraId="5F91B3C2" w14:textId="65591479" w:rsidR="005678AB" w:rsidRPr="00774FA6" w:rsidRDefault="005678AB" w:rsidP="00CC7AD8">
      <w:pPr>
        <w:pStyle w:val="Tekstfusnote"/>
        <w:jc w:val="both"/>
        <w:rPr>
          <w:rFonts w:asciiTheme="minorHAnsi" w:hAnsiTheme="minorHAnsi"/>
        </w:rPr>
      </w:pPr>
      <w:r w:rsidRPr="00774FA6">
        <w:rPr>
          <w:rStyle w:val="Referencafusnote"/>
          <w:rFonts w:asciiTheme="minorHAnsi" w:hAnsiTheme="minorHAnsi"/>
        </w:rPr>
        <w:footnoteRef/>
      </w:r>
      <w:r w:rsidRPr="00774FA6">
        <w:rPr>
          <w:rFonts w:asciiTheme="minorHAnsi" w:hAnsiTheme="minorHAnsi"/>
        </w:rPr>
        <w:t xml:space="preserve"> As indicated in </w:t>
      </w:r>
      <w:r w:rsidRPr="007A42EA">
        <w:rPr>
          <w:rFonts w:asciiTheme="minorHAnsi" w:hAnsiTheme="minorHAnsi"/>
        </w:rPr>
        <w:t>paragraph 102 above</w:t>
      </w:r>
      <w:r w:rsidRPr="00774FA6">
        <w:rPr>
          <w:rFonts w:asciiTheme="minorHAnsi" w:hAnsiTheme="minorHAnsi"/>
        </w:rPr>
        <w:t xml:space="preserve">, currently women make up 29.9% of the staff of the police, but only 18.3% of police officers. However, for the year 2019/2020, 39.9% of applicants to the Police Academy were women (of which 96.5% met the required conditions). Following the selection procedure, 33.2% of new admissions are women.     </w:t>
      </w:r>
    </w:p>
  </w:footnote>
  <w:footnote w:id="64">
    <w:p w14:paraId="601E27A2" w14:textId="2FC74F20" w:rsidR="005678AB" w:rsidRPr="00774FA6" w:rsidRDefault="005678AB" w:rsidP="00F43323">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In cases of temporary transfer, police officers have the right to a one-off allowance (amounting to their average salary of the last three months before the transfer, seven days of paid leave for a visit to their family every three months and the reimbursement of travel expenses related to such visits, a monthly separation allowance if they support their family as well as adequate accommodation and allowances for meal costs)</w:t>
      </w:r>
    </w:p>
  </w:footnote>
  <w:footnote w:id="65">
    <w:p w14:paraId="594C5451" w14:textId="215B67E2" w:rsidR="005678AB" w:rsidRPr="00774FA6" w:rsidRDefault="005678AB" w:rsidP="00CF3F9F">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In this context, the GET reminds the authorities of the </w:t>
      </w:r>
      <w:hyperlink r:id="rId16" w:history="1">
        <w:r w:rsidRPr="00774FA6">
          <w:rPr>
            <w:rStyle w:val="Hiperveza"/>
            <w:rFonts w:asciiTheme="minorHAnsi" w:hAnsiTheme="minorHAnsi" w:cstheme="minorHAnsi"/>
          </w:rPr>
          <w:t>European Code of Police Ethics</w:t>
        </w:r>
      </w:hyperlink>
      <w:r w:rsidRPr="00774FA6">
        <w:rPr>
          <w:rFonts w:asciiTheme="minorHAnsi" w:hAnsiTheme="minorHAnsi" w:cstheme="minorHAnsi"/>
        </w:rPr>
        <w:t>, which outlines that “Police staff shall as a rule enjoy the same civil and political rights as other citizens. Restrictions to these rights may only be made when they are necessary for the exercise of the functions of the police in a democratic society, in accordance with the law, and in conformity with the European Convention on Human Rights.”</w:t>
      </w:r>
    </w:p>
  </w:footnote>
  <w:footnote w:id="66">
    <w:p w14:paraId="10FA25D1" w14:textId="25735620" w:rsidR="005678AB" w:rsidRPr="00774FA6" w:rsidRDefault="005678AB">
      <w:pPr>
        <w:pStyle w:val="Tekstfusnote"/>
        <w:rPr>
          <w:rFonts w:asciiTheme="minorHAnsi" w:hAnsiTheme="minorHAnsi"/>
        </w:rPr>
      </w:pPr>
      <w:r w:rsidRPr="00774FA6">
        <w:rPr>
          <w:rStyle w:val="Referencafusnote"/>
          <w:rFonts w:asciiTheme="minorHAnsi" w:hAnsiTheme="minorHAnsi"/>
        </w:rPr>
        <w:footnoteRef/>
      </w:r>
      <w:r w:rsidRPr="00774FA6">
        <w:rPr>
          <w:rFonts w:asciiTheme="minorHAnsi" w:hAnsiTheme="minorHAnsi"/>
        </w:rPr>
        <w:t xml:space="preserve"> Following the visit, the GET was informed that, in 2018, 414 authorisations were provided and, in 2019 (until November 2019) 315 authorisations. </w:t>
      </w:r>
    </w:p>
  </w:footnote>
  <w:footnote w:id="67">
    <w:p w14:paraId="0A578A16" w14:textId="54BBE03E" w:rsidR="005678AB" w:rsidRPr="00774FA6" w:rsidRDefault="005678AB" w:rsidP="0047711C">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w:t>
      </w:r>
      <w:r w:rsidRPr="00774FA6">
        <w:rPr>
          <w:rFonts w:asciiTheme="minorHAnsi" w:eastAsiaTheme="majorEastAsia" w:hAnsiTheme="minorHAnsi" w:cstheme="minorHAnsi"/>
          <w:bCs/>
        </w:rPr>
        <w:t xml:space="preserve">Complaints are to be submitted in writing (by letter, fax or e-mail or handed over in person) within 30 days after the violation took place and are to include the name, surname and address of the complainant, the place, time and a description of the act concerned and a signature of the complainant. Citizens may also call the Internal Control Division, the Operations and Communication Unit of the police administration where the incident occurred or the toll-free special phone number of the Ministry of the Interior, where s/he will be given advice on what further actions to take. Before the July 2019 amendments to the Police Act complaints who </w:t>
      </w:r>
      <w:r>
        <w:rPr>
          <w:rFonts w:asciiTheme="minorHAnsi" w:eastAsiaTheme="majorEastAsia" w:hAnsiTheme="minorHAnsi" w:cstheme="minorHAnsi"/>
          <w:bCs/>
        </w:rPr>
        <w:t>could</w:t>
      </w:r>
      <w:r w:rsidRPr="00774FA6">
        <w:rPr>
          <w:rFonts w:asciiTheme="minorHAnsi" w:eastAsiaTheme="majorEastAsia" w:hAnsiTheme="minorHAnsi" w:cstheme="minorHAnsi"/>
          <w:bCs/>
        </w:rPr>
        <w:t xml:space="preserve"> be submitted if a person found that someone else’s rights or freedoms had been violated.</w:t>
      </w:r>
    </w:p>
  </w:footnote>
  <w:footnote w:id="68">
    <w:p w14:paraId="1CB8CB7B" w14:textId="1DB75E28" w:rsidR="005678AB" w:rsidRPr="00774FA6" w:rsidRDefault="005678AB" w:rsidP="00195D23">
      <w:pPr>
        <w:pStyle w:val="Tekstfusnote"/>
        <w:jc w:val="both"/>
        <w:rPr>
          <w:rFonts w:asciiTheme="minorHAnsi" w:hAnsiTheme="minorHAnsi"/>
        </w:rPr>
      </w:pPr>
      <w:r w:rsidRPr="00774FA6">
        <w:rPr>
          <w:rStyle w:val="Referencafusnote"/>
          <w:rFonts w:asciiTheme="minorHAnsi" w:hAnsiTheme="minorHAnsi"/>
        </w:rPr>
        <w:footnoteRef/>
      </w:r>
      <w:r w:rsidRPr="00774FA6">
        <w:rPr>
          <w:rFonts w:asciiTheme="minorHAnsi" w:hAnsiTheme="minorHAnsi"/>
        </w:rPr>
        <w:t xml:space="preserve"> The previous Police Act envisaged complaints commissions in each police administration. However, </w:t>
      </w:r>
      <w:r w:rsidRPr="00774FA6">
        <w:rPr>
          <w:rFonts w:asciiTheme="minorHAnsi" w:eastAsiaTheme="majorEastAsia" w:hAnsiTheme="minorHAnsi" w:cstheme="majorBidi"/>
          <w:bCs/>
        </w:rPr>
        <w:t xml:space="preserve">discussing this issue on-site, the GET was told that the complaints commissions had in fact not been operational since 2015, with the exception of the one established at the headquarters of the Ministry of the Interior. In spite of repeated public calls, there were insufficient candidates to sit on the complaint commissions, which is why they have been replaced by a single, central complaints commission (which has as an added value that inconsistencies in resolution of complaints will be largely avoided). </w:t>
      </w:r>
    </w:p>
  </w:footnote>
  <w:footnote w:id="69">
    <w:p w14:paraId="59680745" w14:textId="77777777" w:rsidR="005678AB" w:rsidRPr="00774FA6" w:rsidRDefault="005678AB" w:rsidP="00F547D5">
      <w:pPr>
        <w:pStyle w:val="Tekstfusnote"/>
        <w:jc w:val="both"/>
        <w:rPr>
          <w:rFonts w:asciiTheme="minorHAnsi" w:hAnsiTheme="minorHAnsi" w:cstheme="minorHAnsi"/>
        </w:rPr>
      </w:pPr>
      <w:r w:rsidRPr="00774FA6">
        <w:rPr>
          <w:rStyle w:val="Referencafusnote"/>
          <w:rFonts w:asciiTheme="minorHAnsi" w:hAnsiTheme="minorHAnsi" w:cstheme="minorHAnsi"/>
        </w:rPr>
        <w:footnoteRef/>
      </w:r>
      <w:r w:rsidRPr="00774FA6">
        <w:rPr>
          <w:rFonts w:asciiTheme="minorHAnsi" w:hAnsiTheme="minorHAnsi" w:cstheme="minorHAnsi"/>
        </w:rPr>
        <w:t xml:space="preserve"> Paragraph 2 of Article 302 of the Criminal Code provides “</w:t>
      </w:r>
      <w:r w:rsidRPr="00774FA6">
        <w:rPr>
          <w:rFonts w:asciiTheme="minorHAnsi" w:hAnsiTheme="minorHAnsi" w:cstheme="minorHAnsi"/>
          <w:lang w:eastAsia="hr-HR"/>
        </w:rPr>
        <w:t>(2) The same punishment as referred to in paragraph 1 of this Article shall be inflicted on a public official or a responsible person who fails to report the commission of a criminal offense which he or she has come to know about in the course of performing his or her duties, provided that the criminal proceedings for the criminal offense in question cannot be initiated by private action or upon request.”</w:t>
      </w:r>
    </w:p>
  </w:footnote>
  <w:footnote w:id="70">
    <w:p w14:paraId="20CD5454" w14:textId="77777777" w:rsidR="005678AB" w:rsidRPr="00774FA6" w:rsidRDefault="005678AB" w:rsidP="00F547D5">
      <w:pPr>
        <w:spacing w:after="0" w:line="240" w:lineRule="auto"/>
        <w:jc w:val="both"/>
        <w:rPr>
          <w:rFonts w:cstheme="minorHAnsi"/>
          <w:color w:val="FF0000"/>
          <w:sz w:val="20"/>
          <w:szCs w:val="20"/>
          <w:lang w:val="en-GB"/>
        </w:rPr>
      </w:pPr>
      <w:r w:rsidRPr="00774FA6">
        <w:rPr>
          <w:rStyle w:val="Referencafusnote"/>
          <w:rFonts w:cstheme="minorHAnsi"/>
          <w:sz w:val="20"/>
          <w:szCs w:val="20"/>
          <w:lang w:val="en-GB"/>
        </w:rPr>
        <w:footnoteRef/>
      </w:r>
      <w:r w:rsidRPr="00774FA6">
        <w:rPr>
          <w:rFonts w:cstheme="minorHAnsi"/>
          <w:sz w:val="20"/>
          <w:szCs w:val="20"/>
          <w:lang w:val="en-GB"/>
        </w:rPr>
        <w:t xml:space="preserve"> </w:t>
      </w:r>
      <w:r w:rsidRPr="00774FA6">
        <w:rPr>
          <w:rFonts w:eastAsiaTheme="majorEastAsia" w:cstheme="minorHAnsi"/>
          <w:bCs/>
          <w:sz w:val="20"/>
          <w:szCs w:val="20"/>
          <w:lang w:val="en-GB"/>
        </w:rPr>
        <w:t>Minor breaches of duty involve being late for work or leaving the work place early;</w:t>
      </w:r>
      <w:r w:rsidRPr="00774FA6">
        <w:rPr>
          <w:rFonts w:cstheme="minorHAnsi"/>
          <w:color w:val="FF0000"/>
          <w:sz w:val="20"/>
          <w:szCs w:val="20"/>
          <w:lang w:val="en-GB"/>
        </w:rPr>
        <w:t xml:space="preserve"> </w:t>
      </w:r>
      <w:r w:rsidRPr="00774FA6">
        <w:rPr>
          <w:rFonts w:eastAsiaTheme="majorEastAsia" w:cstheme="minorHAnsi"/>
          <w:bCs/>
          <w:sz w:val="20"/>
          <w:szCs w:val="20"/>
          <w:lang w:val="en-GB"/>
        </w:rPr>
        <w:t>leaving the work place during working hours without the permission of the superior officer or for unjustified reasons;</w:t>
      </w:r>
      <w:r w:rsidRPr="00774FA6">
        <w:rPr>
          <w:rFonts w:cstheme="minorHAnsi"/>
          <w:color w:val="FF0000"/>
          <w:sz w:val="20"/>
          <w:szCs w:val="20"/>
          <w:lang w:val="en-GB"/>
        </w:rPr>
        <w:t xml:space="preserve"> </w:t>
      </w:r>
      <w:r w:rsidRPr="00774FA6">
        <w:rPr>
          <w:rFonts w:eastAsiaTheme="majorEastAsia" w:cstheme="minorHAnsi"/>
          <w:bCs/>
          <w:sz w:val="20"/>
          <w:szCs w:val="20"/>
          <w:lang w:val="en-GB"/>
        </w:rPr>
        <w:t>irregular or irresponsible behaviour with police resources or official documents, disrespectful conduct towards citizens or colleagues during working hours; unexcused absence from work for one day; disorderly appearance or wearing the police uniform in an unauthorised manner; other breaches of official duty prescribed by secondary legislation.</w:t>
      </w:r>
    </w:p>
  </w:footnote>
  <w:footnote w:id="71">
    <w:p w14:paraId="482F6AB8" w14:textId="1EE2CFC0" w:rsidR="005678AB" w:rsidRPr="00774FA6" w:rsidRDefault="005678AB" w:rsidP="00C16659">
      <w:pPr>
        <w:spacing w:after="0" w:line="240" w:lineRule="auto"/>
        <w:jc w:val="both"/>
        <w:rPr>
          <w:rFonts w:cstheme="minorHAnsi"/>
          <w:sz w:val="20"/>
          <w:szCs w:val="20"/>
          <w:lang w:val="en-GB"/>
        </w:rPr>
      </w:pPr>
      <w:r w:rsidRPr="00774FA6">
        <w:rPr>
          <w:rStyle w:val="Referencafusnote"/>
          <w:rFonts w:cstheme="minorHAnsi"/>
          <w:sz w:val="20"/>
          <w:szCs w:val="20"/>
          <w:lang w:val="en-GB"/>
        </w:rPr>
        <w:footnoteRef/>
      </w:r>
      <w:r w:rsidRPr="00774FA6">
        <w:rPr>
          <w:rFonts w:cstheme="minorHAnsi"/>
          <w:sz w:val="20"/>
          <w:szCs w:val="20"/>
          <w:lang w:val="en-GB"/>
        </w:rPr>
        <w:t xml:space="preserve"> Serious breaches of duty involve a failure to perform, or irresponsible, untimely or negligent performance of official obligations; unlawful work or failure to take measures and actions which an officer is authorised to take in order to prevent unlawful activities; abuse of official position, both on duty and off duty, or exceeding authority whilst on duty; refusal to undertake a task for no justified reason; revealing information referred to in Article 35 of the Police Act to unauthorized persons; carrying out independent economic or professional activity in violation of the provisions of Article 37 of the Police Act; inappropriate behaviour on duty or off duty, when it harms the reputation of the police service; unexcused absence from work for two to four consecutive days; unauthorised use of the resources of the Ministry or their use for undesignated purposes; refusal or avoidance of obligations related to professional training and education or refusal to undergo testing of mental and physical abilities and special physical motor skills prescribed by special ordinances.</w:t>
      </w:r>
    </w:p>
  </w:footnote>
  <w:footnote w:id="72">
    <w:p w14:paraId="52E52E67" w14:textId="29536DC5" w:rsidR="005678AB" w:rsidRPr="00774FA6" w:rsidRDefault="005678AB" w:rsidP="00774FA6">
      <w:pPr>
        <w:pStyle w:val="Tekstfusnote"/>
        <w:jc w:val="both"/>
        <w:rPr>
          <w:rFonts w:asciiTheme="minorHAnsi" w:hAnsiTheme="minorHAnsi"/>
        </w:rPr>
      </w:pPr>
      <w:r w:rsidRPr="00774FA6">
        <w:rPr>
          <w:rStyle w:val="Referencafusnote"/>
          <w:rFonts w:asciiTheme="minorHAnsi" w:hAnsiTheme="minorHAnsi"/>
        </w:rPr>
        <w:footnoteRef/>
      </w:r>
      <w:r w:rsidRPr="00774FA6">
        <w:rPr>
          <w:rFonts w:asciiTheme="minorHAnsi" w:hAnsiTheme="minorHAnsi"/>
        </w:rPr>
        <w:t xml:space="preserve"> </w:t>
      </w:r>
      <w:r>
        <w:rPr>
          <w:rFonts w:asciiTheme="minorHAnsi" w:hAnsiTheme="minorHAnsi"/>
        </w:rPr>
        <w:t xml:space="preserve">“Reported” in this context means that a criminal complaint has been filed against a police officer by the competent State Attorney’s Office.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0"/>
        </w:tabs>
        <w:ind w:left="0" w:firstLine="0"/>
      </w:pPr>
      <w:rPr>
        <w:rFonts w:cs="Calibri"/>
        <w:b w:val="0"/>
        <w:i w:val="0"/>
        <w:color w:val="00000A"/>
        <w:sz w:val="22"/>
        <w:szCs w:val="22"/>
        <w:lang w:val="en-GB"/>
      </w:rPr>
    </w:lvl>
    <w:lvl w:ilvl="1">
      <w:start w:val="1"/>
      <w:numFmt w:val="bullet"/>
      <w:lvlText w:val="-"/>
      <w:lvlJc w:val="left"/>
      <w:pPr>
        <w:tabs>
          <w:tab w:val="num" w:pos="0"/>
        </w:tabs>
        <w:ind w:left="1080" w:hanging="360"/>
      </w:pPr>
      <w:rPr>
        <w:rFonts w:ascii="Calibri" w:hAnsi="Calibri" w:cs="Calibri"/>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1693FB9"/>
    <w:multiLevelType w:val="hybridMultilevel"/>
    <w:tmpl w:val="9F5A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94253"/>
    <w:multiLevelType w:val="hybridMultilevel"/>
    <w:tmpl w:val="649049B2"/>
    <w:lvl w:ilvl="0" w:tplc="EBEA15DA">
      <w:start w:val="4"/>
      <w:numFmt w:val="decimal"/>
      <w:lvlText w:val="%1."/>
      <w:lvlJc w:val="left"/>
      <w:pPr>
        <w:tabs>
          <w:tab w:val="num" w:pos="567"/>
        </w:tabs>
        <w:ind w:left="567" w:hanging="567"/>
      </w:pPr>
      <w:rPr>
        <w:rFonts w:ascii="Arial Narrow" w:hAnsi="Arial Narrow"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E37E84"/>
    <w:multiLevelType w:val="multilevel"/>
    <w:tmpl w:val="2DBABD1A"/>
    <w:lvl w:ilvl="0">
      <w:start w:val="1"/>
      <w:numFmt w:val="decimal"/>
      <w:lvlText w:val="%1."/>
      <w:lvlJc w:val="left"/>
      <w:pPr>
        <w:tabs>
          <w:tab w:val="num" w:pos="3403"/>
        </w:tabs>
        <w:ind w:left="3403" w:hanging="567"/>
      </w:pPr>
      <w:rPr>
        <w:rFonts w:asciiTheme="minorHAnsi" w:hAnsiTheme="minorHAnsi" w:cs="Times New Roman" w:hint="default"/>
        <w:b w:val="0"/>
        <w:i w:val="0"/>
        <w:color w:val="auto"/>
        <w:sz w:val="24"/>
        <w:lang w:val="en-G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1134"/>
        </w:tabs>
        <w:ind w:left="1134" w:hanging="567"/>
      </w:pPr>
      <w:rPr>
        <w:rFonts w:cs="Times New Roman" w:hint="default"/>
        <w:b/>
        <w:i w:val="0"/>
        <w:color w:val="auto"/>
        <w:sz w:val="24"/>
      </w:rPr>
    </w:lvl>
    <w:lvl w:ilvl="3">
      <w:numFmt w:val="bullet"/>
      <w:lvlText w:val="•"/>
      <w:lvlJc w:val="left"/>
      <w:pPr>
        <w:ind w:left="2940" w:hanging="420"/>
      </w:pPr>
      <w:rPr>
        <w:rFonts w:ascii="Verdana" w:eastAsia="Times New Roman" w:hAnsi="Verdana" w:cs="Arial" w:hint="default"/>
      </w:rPr>
    </w:lvl>
    <w:lvl w:ilvl="4">
      <w:start w:val="1"/>
      <w:numFmt w:val="lowerRoman"/>
      <w:lvlText w:val="%5)"/>
      <w:lvlJc w:val="left"/>
      <w:pPr>
        <w:ind w:left="3960" w:hanging="720"/>
      </w:pPr>
      <w:rPr>
        <w:rFonts w:hint="default"/>
        <w:b/>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96C36E9"/>
    <w:multiLevelType w:val="hybridMultilevel"/>
    <w:tmpl w:val="9E0A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F0DF6"/>
    <w:multiLevelType w:val="hybridMultilevel"/>
    <w:tmpl w:val="543E2A24"/>
    <w:lvl w:ilvl="0" w:tplc="951E179E">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F3027B7"/>
    <w:multiLevelType w:val="hybridMultilevel"/>
    <w:tmpl w:val="4C642A4A"/>
    <w:lvl w:ilvl="0" w:tplc="927E5E04">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26070D2"/>
    <w:multiLevelType w:val="hybridMultilevel"/>
    <w:tmpl w:val="06C8A6A0"/>
    <w:lvl w:ilvl="0" w:tplc="EC0AD9D0">
      <w:numFmt w:val="bullet"/>
      <w:lvlText w:val="—"/>
      <w:lvlJc w:val="left"/>
      <w:pPr>
        <w:ind w:left="137" w:hanging="145"/>
      </w:pPr>
      <w:rPr>
        <w:rFonts w:hint="default"/>
        <w:w w:val="31"/>
        <w:lang w:val="hr" w:eastAsia="hr" w:bidi="hr"/>
      </w:rPr>
    </w:lvl>
    <w:lvl w:ilvl="1" w:tplc="C13CA064">
      <w:numFmt w:val="bullet"/>
      <w:lvlText w:val="•"/>
      <w:lvlJc w:val="left"/>
      <w:pPr>
        <w:ind w:left="1062" w:hanging="145"/>
      </w:pPr>
      <w:rPr>
        <w:rFonts w:hint="default"/>
        <w:lang w:val="hr" w:eastAsia="hr" w:bidi="hr"/>
      </w:rPr>
    </w:lvl>
    <w:lvl w:ilvl="2" w:tplc="CCDC9EE4">
      <w:numFmt w:val="bullet"/>
      <w:lvlText w:val="•"/>
      <w:lvlJc w:val="left"/>
      <w:pPr>
        <w:ind w:left="1984" w:hanging="145"/>
      </w:pPr>
      <w:rPr>
        <w:rFonts w:hint="default"/>
        <w:lang w:val="hr" w:eastAsia="hr" w:bidi="hr"/>
      </w:rPr>
    </w:lvl>
    <w:lvl w:ilvl="3" w:tplc="3A786C18">
      <w:numFmt w:val="bullet"/>
      <w:lvlText w:val="•"/>
      <w:lvlJc w:val="left"/>
      <w:pPr>
        <w:ind w:left="2906" w:hanging="145"/>
      </w:pPr>
      <w:rPr>
        <w:rFonts w:hint="default"/>
        <w:lang w:val="hr" w:eastAsia="hr" w:bidi="hr"/>
      </w:rPr>
    </w:lvl>
    <w:lvl w:ilvl="4" w:tplc="37A62340">
      <w:numFmt w:val="bullet"/>
      <w:lvlText w:val="•"/>
      <w:lvlJc w:val="left"/>
      <w:pPr>
        <w:ind w:left="3828" w:hanging="145"/>
      </w:pPr>
      <w:rPr>
        <w:rFonts w:hint="default"/>
        <w:lang w:val="hr" w:eastAsia="hr" w:bidi="hr"/>
      </w:rPr>
    </w:lvl>
    <w:lvl w:ilvl="5" w:tplc="C3A8AE62">
      <w:numFmt w:val="bullet"/>
      <w:lvlText w:val="•"/>
      <w:lvlJc w:val="left"/>
      <w:pPr>
        <w:ind w:left="4750" w:hanging="145"/>
      </w:pPr>
      <w:rPr>
        <w:rFonts w:hint="default"/>
        <w:lang w:val="hr" w:eastAsia="hr" w:bidi="hr"/>
      </w:rPr>
    </w:lvl>
    <w:lvl w:ilvl="6" w:tplc="85C66628">
      <w:numFmt w:val="bullet"/>
      <w:lvlText w:val="•"/>
      <w:lvlJc w:val="left"/>
      <w:pPr>
        <w:ind w:left="5672" w:hanging="145"/>
      </w:pPr>
      <w:rPr>
        <w:rFonts w:hint="default"/>
        <w:lang w:val="hr" w:eastAsia="hr" w:bidi="hr"/>
      </w:rPr>
    </w:lvl>
    <w:lvl w:ilvl="7" w:tplc="68F03590">
      <w:numFmt w:val="bullet"/>
      <w:lvlText w:val="•"/>
      <w:lvlJc w:val="left"/>
      <w:pPr>
        <w:ind w:left="6594" w:hanging="145"/>
      </w:pPr>
      <w:rPr>
        <w:rFonts w:hint="default"/>
        <w:lang w:val="hr" w:eastAsia="hr" w:bidi="hr"/>
      </w:rPr>
    </w:lvl>
    <w:lvl w:ilvl="8" w:tplc="1D9894EC">
      <w:numFmt w:val="bullet"/>
      <w:lvlText w:val="•"/>
      <w:lvlJc w:val="left"/>
      <w:pPr>
        <w:ind w:left="7516" w:hanging="145"/>
      </w:pPr>
      <w:rPr>
        <w:rFonts w:hint="default"/>
        <w:lang w:val="hr" w:eastAsia="hr" w:bidi="hr"/>
      </w:rPr>
    </w:lvl>
  </w:abstractNum>
  <w:abstractNum w:abstractNumId="8" w15:restartNumberingAfterBreak="0">
    <w:nsid w:val="2DB945F8"/>
    <w:multiLevelType w:val="hybridMultilevel"/>
    <w:tmpl w:val="8F204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72F4D"/>
    <w:multiLevelType w:val="hybridMultilevel"/>
    <w:tmpl w:val="E0FEEDE8"/>
    <w:lvl w:ilvl="0" w:tplc="DF5C615E">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523E8"/>
    <w:multiLevelType w:val="hybridMultilevel"/>
    <w:tmpl w:val="4094CD84"/>
    <w:lvl w:ilvl="0" w:tplc="624455FC">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A032F"/>
    <w:multiLevelType w:val="hybridMultilevel"/>
    <w:tmpl w:val="A644E6D0"/>
    <w:lvl w:ilvl="0" w:tplc="F8CC3378">
      <w:start w:val="9"/>
      <w:numFmt w:val="bullet"/>
      <w:lvlText w:val="-"/>
      <w:lvlJc w:val="left"/>
      <w:pPr>
        <w:ind w:left="720" w:hanging="360"/>
      </w:pPr>
      <w:rPr>
        <w:rFonts w:ascii="Ebrima" w:eastAsia="Times New Roman" w:hAnsi="Ebrim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50D3A"/>
    <w:multiLevelType w:val="multilevel"/>
    <w:tmpl w:val="B640370C"/>
    <w:lvl w:ilvl="0">
      <w:start w:val="1"/>
      <w:numFmt w:val="decimal"/>
      <w:lvlText w:val="%1."/>
      <w:lvlJc w:val="left"/>
      <w:pPr>
        <w:tabs>
          <w:tab w:val="num" w:pos="709"/>
        </w:tabs>
        <w:ind w:left="709" w:hanging="567"/>
      </w:pPr>
      <w:rPr>
        <w:rFonts w:asciiTheme="minorHAnsi" w:hAnsiTheme="minorHAnsi" w:cs="Times New Roman" w:hint="default"/>
        <w:b w:val="0"/>
        <w:i w:val="0"/>
        <w:color w:val="auto"/>
        <w:sz w:val="24"/>
        <w:lang w:val="en-G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1134"/>
        </w:tabs>
        <w:ind w:left="1134" w:hanging="567"/>
      </w:pPr>
      <w:rPr>
        <w:rFonts w:cs="Times New Roman" w:hint="default"/>
        <w:b/>
        <w:i w:val="0"/>
        <w:color w:val="auto"/>
        <w:sz w:val="24"/>
      </w:rPr>
    </w:lvl>
    <w:lvl w:ilvl="3">
      <w:numFmt w:val="bullet"/>
      <w:lvlText w:val="•"/>
      <w:lvlJc w:val="left"/>
      <w:pPr>
        <w:ind w:left="2940" w:hanging="420"/>
      </w:pPr>
      <w:rPr>
        <w:rFonts w:ascii="Verdana" w:eastAsia="Times New Roman" w:hAnsi="Verdana" w:cs="Arial" w:hint="default"/>
      </w:rPr>
    </w:lvl>
    <w:lvl w:ilvl="4">
      <w:start w:val="1"/>
      <w:numFmt w:val="lowerRoman"/>
      <w:lvlText w:val="%5)"/>
      <w:lvlJc w:val="left"/>
      <w:pPr>
        <w:ind w:left="3960" w:hanging="720"/>
      </w:pPr>
      <w:rPr>
        <w:rFonts w:hint="default"/>
        <w:b/>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BC54722"/>
    <w:multiLevelType w:val="hybridMultilevel"/>
    <w:tmpl w:val="6AF0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2656D"/>
    <w:multiLevelType w:val="hybridMultilevel"/>
    <w:tmpl w:val="91EEC9FC"/>
    <w:lvl w:ilvl="0" w:tplc="D992649E">
      <w:start w:val="1"/>
      <w:numFmt w:val="decimal"/>
      <w:lvlText w:val="%1."/>
      <w:lvlJc w:val="left"/>
      <w:pPr>
        <w:tabs>
          <w:tab w:val="num" w:pos="709"/>
        </w:tabs>
        <w:ind w:left="709" w:hanging="567"/>
      </w:pPr>
      <w:rPr>
        <w:rFonts w:asciiTheme="minorHAnsi" w:hAnsiTheme="minorHAnsi" w:cs="Times New Roman" w:hint="default"/>
        <w:b w:val="0"/>
        <w:i w:val="0"/>
        <w:color w:val="auto"/>
        <w:sz w:val="20"/>
        <w:lang w:val="en-GB"/>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5342106"/>
    <w:multiLevelType w:val="hybridMultilevel"/>
    <w:tmpl w:val="557A9FB2"/>
    <w:lvl w:ilvl="0" w:tplc="F8CC3378">
      <w:start w:val="9"/>
      <w:numFmt w:val="bullet"/>
      <w:lvlText w:val="-"/>
      <w:lvlJc w:val="left"/>
      <w:pPr>
        <w:ind w:left="720" w:hanging="360"/>
      </w:pPr>
      <w:rPr>
        <w:rFonts w:ascii="Ebrima" w:eastAsia="Times New Roman" w:hAnsi="Ebrim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44317"/>
    <w:multiLevelType w:val="hybridMultilevel"/>
    <w:tmpl w:val="BC9090C6"/>
    <w:lvl w:ilvl="0" w:tplc="62607B2E">
      <w:start w:val="1"/>
      <w:numFmt w:val="lowerRoman"/>
      <w:lvlText w:val="%1."/>
      <w:lvlJc w:val="left"/>
      <w:pPr>
        <w:ind w:left="720" w:hanging="360"/>
      </w:pPr>
      <w:rPr>
        <w:rFonts w:hint="default"/>
      </w:rPr>
    </w:lvl>
    <w:lvl w:ilvl="1" w:tplc="6EBA4BA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D06D64"/>
    <w:multiLevelType w:val="hybridMultilevel"/>
    <w:tmpl w:val="EEC6D3A8"/>
    <w:lvl w:ilvl="0" w:tplc="7C7C413A">
      <w:start w:val="1"/>
      <w:numFmt w:val="lowerRoman"/>
      <w:lvlText w:val="%1."/>
      <w:lvlJc w:val="left"/>
      <w:pPr>
        <w:ind w:left="720" w:hanging="360"/>
      </w:pPr>
      <w:rPr>
        <w:rFonts w:cs="Times New Roman" w:hint="default"/>
        <w:b/>
        <w:i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733564"/>
    <w:multiLevelType w:val="hybridMultilevel"/>
    <w:tmpl w:val="F4E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10E12"/>
    <w:multiLevelType w:val="hybridMultilevel"/>
    <w:tmpl w:val="F74E1666"/>
    <w:lvl w:ilvl="0" w:tplc="89564E98">
      <w:start w:val="1"/>
      <w:numFmt w:val="decimal"/>
      <w:lvlText w:val="%1."/>
      <w:lvlJc w:val="left"/>
      <w:pPr>
        <w:tabs>
          <w:tab w:val="num" w:pos="709"/>
        </w:tabs>
        <w:ind w:left="709" w:hanging="567"/>
      </w:pPr>
      <w:rPr>
        <w:rFonts w:asciiTheme="minorHAnsi" w:hAnsiTheme="minorHAnsi" w:cs="Times New Roman" w:hint="default"/>
        <w:b w:val="0"/>
        <w:i w:val="0"/>
        <w:color w:val="auto"/>
        <w:sz w:val="24"/>
        <w:lang w:val="en-GB"/>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906B67"/>
    <w:multiLevelType w:val="hybridMultilevel"/>
    <w:tmpl w:val="7C32055C"/>
    <w:lvl w:ilvl="0" w:tplc="89564E98">
      <w:start w:val="1"/>
      <w:numFmt w:val="decimal"/>
      <w:lvlText w:val="%1."/>
      <w:lvlJc w:val="left"/>
      <w:pPr>
        <w:tabs>
          <w:tab w:val="num" w:pos="2410"/>
        </w:tabs>
        <w:ind w:left="2410" w:hanging="567"/>
      </w:pPr>
      <w:rPr>
        <w:rFonts w:asciiTheme="minorHAnsi" w:hAnsiTheme="minorHAnsi" w:cs="Times New Roman" w:hint="default"/>
        <w:b w:val="0"/>
        <w:i w:val="0"/>
        <w:color w:val="auto"/>
        <w:sz w:val="24"/>
        <w:lang w:val="en-GB"/>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DF3D72"/>
    <w:multiLevelType w:val="multilevel"/>
    <w:tmpl w:val="A47CAEF2"/>
    <w:lvl w:ilvl="0">
      <w:start w:val="1"/>
      <w:numFmt w:val="decimal"/>
      <w:lvlText w:val="%1."/>
      <w:lvlJc w:val="left"/>
      <w:pPr>
        <w:tabs>
          <w:tab w:val="num" w:pos="3403"/>
        </w:tabs>
        <w:ind w:left="3403" w:hanging="567"/>
      </w:pPr>
      <w:rPr>
        <w:rFonts w:asciiTheme="minorHAnsi" w:hAnsiTheme="minorHAnsi" w:cs="Times New Roman" w:hint="default"/>
        <w:b w:val="0"/>
        <w:i w:val="0"/>
        <w:color w:val="auto"/>
        <w:sz w:val="24"/>
        <w:lang w:val="en-G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1134"/>
        </w:tabs>
        <w:ind w:left="1134" w:hanging="567"/>
      </w:pPr>
      <w:rPr>
        <w:rFonts w:cs="Times New Roman" w:hint="default"/>
        <w:b/>
        <w:i w:val="0"/>
        <w:color w:val="auto"/>
        <w:sz w:val="24"/>
      </w:rPr>
    </w:lvl>
    <w:lvl w:ilvl="3">
      <w:numFmt w:val="bullet"/>
      <w:lvlText w:val="•"/>
      <w:lvlJc w:val="left"/>
      <w:pPr>
        <w:ind w:left="2940" w:hanging="420"/>
      </w:pPr>
      <w:rPr>
        <w:rFonts w:ascii="Verdana" w:eastAsia="Times New Roman" w:hAnsi="Verdana" w:cs="Arial" w:hint="default"/>
      </w:rPr>
    </w:lvl>
    <w:lvl w:ilvl="4">
      <w:start w:val="1"/>
      <w:numFmt w:val="lowerRoman"/>
      <w:lvlText w:val="%5)"/>
      <w:lvlJc w:val="left"/>
      <w:pPr>
        <w:ind w:left="3960" w:hanging="720"/>
      </w:pPr>
      <w:rPr>
        <w:rFonts w:hint="default"/>
        <w:b/>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F2B00FD"/>
    <w:multiLevelType w:val="hybridMultilevel"/>
    <w:tmpl w:val="02802870"/>
    <w:lvl w:ilvl="0" w:tplc="89564E98">
      <w:start w:val="1"/>
      <w:numFmt w:val="decimal"/>
      <w:lvlText w:val="%1."/>
      <w:lvlJc w:val="left"/>
      <w:pPr>
        <w:tabs>
          <w:tab w:val="num" w:pos="709"/>
        </w:tabs>
        <w:ind w:left="709" w:hanging="567"/>
      </w:pPr>
      <w:rPr>
        <w:rFonts w:asciiTheme="minorHAnsi" w:hAnsiTheme="minorHAnsi" w:cs="Times New Roman" w:hint="default"/>
        <w:b w:val="0"/>
        <w:i w:val="0"/>
        <w:color w:val="auto"/>
        <w:sz w:val="24"/>
        <w:lang w:val="en-GB"/>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6"/>
  </w:num>
  <w:num w:numId="3">
    <w:abstractNumId w:val="13"/>
  </w:num>
  <w:num w:numId="4">
    <w:abstractNumId w:val="1"/>
  </w:num>
  <w:num w:numId="5">
    <w:abstractNumId w:val="2"/>
  </w:num>
  <w:num w:numId="6">
    <w:abstractNumId w:val="18"/>
  </w:num>
  <w:num w:numId="7">
    <w:abstractNumId w:val="14"/>
  </w:num>
  <w:num w:numId="8">
    <w:abstractNumId w:val="6"/>
  </w:num>
  <w:num w:numId="9">
    <w:abstractNumId w:val="19"/>
  </w:num>
  <w:num w:numId="10">
    <w:abstractNumId w:val="22"/>
  </w:num>
  <w:num w:numId="11">
    <w:abstractNumId w:val="9"/>
  </w:num>
  <w:num w:numId="12">
    <w:abstractNumId w:val="10"/>
  </w:num>
  <w:num w:numId="13">
    <w:abstractNumId w:val="15"/>
  </w:num>
  <w:num w:numId="14">
    <w:abstractNumId w:val="11"/>
  </w:num>
  <w:num w:numId="15">
    <w:abstractNumId w:val="12"/>
  </w:num>
  <w:num w:numId="16">
    <w:abstractNumId w:val="8"/>
  </w:num>
  <w:num w:numId="17">
    <w:abstractNumId w:val="0"/>
  </w:num>
  <w:num w:numId="1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4"/>
  </w:num>
  <w:num w:numId="25">
    <w:abstractNumId w:val="5"/>
  </w:num>
  <w:num w:numId="26">
    <w:abstractNumId w:val="2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3F"/>
    <w:rsid w:val="000010FF"/>
    <w:rsid w:val="0000257E"/>
    <w:rsid w:val="00002870"/>
    <w:rsid w:val="00002BDF"/>
    <w:rsid w:val="00002D28"/>
    <w:rsid w:val="000030BD"/>
    <w:rsid w:val="00003B73"/>
    <w:rsid w:val="00003E3B"/>
    <w:rsid w:val="00004B2B"/>
    <w:rsid w:val="00005290"/>
    <w:rsid w:val="00006695"/>
    <w:rsid w:val="00006B6C"/>
    <w:rsid w:val="000126A8"/>
    <w:rsid w:val="00012E2B"/>
    <w:rsid w:val="00013209"/>
    <w:rsid w:val="0001400A"/>
    <w:rsid w:val="00014763"/>
    <w:rsid w:val="000147B4"/>
    <w:rsid w:val="0001753C"/>
    <w:rsid w:val="00017F31"/>
    <w:rsid w:val="00020B44"/>
    <w:rsid w:val="000238AF"/>
    <w:rsid w:val="00023F7D"/>
    <w:rsid w:val="000251F2"/>
    <w:rsid w:val="00026363"/>
    <w:rsid w:val="00027297"/>
    <w:rsid w:val="00027CFE"/>
    <w:rsid w:val="00030AB0"/>
    <w:rsid w:val="00031368"/>
    <w:rsid w:val="000324C1"/>
    <w:rsid w:val="000325D9"/>
    <w:rsid w:val="00032BCC"/>
    <w:rsid w:val="0003300F"/>
    <w:rsid w:val="00034262"/>
    <w:rsid w:val="000356A7"/>
    <w:rsid w:val="000356CA"/>
    <w:rsid w:val="000356FF"/>
    <w:rsid w:val="00035B2C"/>
    <w:rsid w:val="00035C99"/>
    <w:rsid w:val="000371D6"/>
    <w:rsid w:val="0003780D"/>
    <w:rsid w:val="00040066"/>
    <w:rsid w:val="00040147"/>
    <w:rsid w:val="0004029C"/>
    <w:rsid w:val="00040C02"/>
    <w:rsid w:val="000419E9"/>
    <w:rsid w:val="00041D3F"/>
    <w:rsid w:val="00042AE6"/>
    <w:rsid w:val="00042CF0"/>
    <w:rsid w:val="00045308"/>
    <w:rsid w:val="00045786"/>
    <w:rsid w:val="000469EF"/>
    <w:rsid w:val="00046C69"/>
    <w:rsid w:val="0005001C"/>
    <w:rsid w:val="000505ED"/>
    <w:rsid w:val="0005126D"/>
    <w:rsid w:val="00051311"/>
    <w:rsid w:val="000524F8"/>
    <w:rsid w:val="00052760"/>
    <w:rsid w:val="000527A2"/>
    <w:rsid w:val="000532CE"/>
    <w:rsid w:val="00053373"/>
    <w:rsid w:val="000534EB"/>
    <w:rsid w:val="00054466"/>
    <w:rsid w:val="00054E14"/>
    <w:rsid w:val="0005503C"/>
    <w:rsid w:val="00056532"/>
    <w:rsid w:val="0005669E"/>
    <w:rsid w:val="00056883"/>
    <w:rsid w:val="00056FAB"/>
    <w:rsid w:val="0005760B"/>
    <w:rsid w:val="00057CC6"/>
    <w:rsid w:val="0006008B"/>
    <w:rsid w:val="00060F45"/>
    <w:rsid w:val="000618DB"/>
    <w:rsid w:val="0006198D"/>
    <w:rsid w:val="00061FA4"/>
    <w:rsid w:val="00062F8F"/>
    <w:rsid w:val="00063A3D"/>
    <w:rsid w:val="0006579F"/>
    <w:rsid w:val="000663DB"/>
    <w:rsid w:val="0006643C"/>
    <w:rsid w:val="00066809"/>
    <w:rsid w:val="000670EB"/>
    <w:rsid w:val="000676B7"/>
    <w:rsid w:val="00070462"/>
    <w:rsid w:val="0007082A"/>
    <w:rsid w:val="00070B18"/>
    <w:rsid w:val="00071D15"/>
    <w:rsid w:val="0007220F"/>
    <w:rsid w:val="00074A84"/>
    <w:rsid w:val="00074B4A"/>
    <w:rsid w:val="00075D0D"/>
    <w:rsid w:val="00076012"/>
    <w:rsid w:val="00077622"/>
    <w:rsid w:val="00077C57"/>
    <w:rsid w:val="0008152C"/>
    <w:rsid w:val="000820F1"/>
    <w:rsid w:val="000831F9"/>
    <w:rsid w:val="00083979"/>
    <w:rsid w:val="00083F4C"/>
    <w:rsid w:val="00090616"/>
    <w:rsid w:val="00090ABF"/>
    <w:rsid w:val="00091E61"/>
    <w:rsid w:val="00091F4D"/>
    <w:rsid w:val="000924D4"/>
    <w:rsid w:val="00093CD1"/>
    <w:rsid w:val="00094B11"/>
    <w:rsid w:val="00094B1A"/>
    <w:rsid w:val="00095F89"/>
    <w:rsid w:val="00096032"/>
    <w:rsid w:val="00096242"/>
    <w:rsid w:val="000A027A"/>
    <w:rsid w:val="000A08B7"/>
    <w:rsid w:val="000A0F38"/>
    <w:rsid w:val="000A147A"/>
    <w:rsid w:val="000A248A"/>
    <w:rsid w:val="000A4146"/>
    <w:rsid w:val="000A42B0"/>
    <w:rsid w:val="000A430D"/>
    <w:rsid w:val="000A5CCA"/>
    <w:rsid w:val="000A7B17"/>
    <w:rsid w:val="000A7FF4"/>
    <w:rsid w:val="000B0EB0"/>
    <w:rsid w:val="000B139E"/>
    <w:rsid w:val="000B184C"/>
    <w:rsid w:val="000B1ED6"/>
    <w:rsid w:val="000B29C1"/>
    <w:rsid w:val="000B2AE9"/>
    <w:rsid w:val="000B34DF"/>
    <w:rsid w:val="000B3D38"/>
    <w:rsid w:val="000B4A1B"/>
    <w:rsid w:val="000B4BDD"/>
    <w:rsid w:val="000B4D20"/>
    <w:rsid w:val="000B4D69"/>
    <w:rsid w:val="000B5570"/>
    <w:rsid w:val="000B582A"/>
    <w:rsid w:val="000C14C9"/>
    <w:rsid w:val="000C1D53"/>
    <w:rsid w:val="000C1FDD"/>
    <w:rsid w:val="000C377B"/>
    <w:rsid w:val="000C37C7"/>
    <w:rsid w:val="000C38B4"/>
    <w:rsid w:val="000C52DB"/>
    <w:rsid w:val="000C6289"/>
    <w:rsid w:val="000C6EE7"/>
    <w:rsid w:val="000C6F12"/>
    <w:rsid w:val="000C7010"/>
    <w:rsid w:val="000D0F71"/>
    <w:rsid w:val="000D1075"/>
    <w:rsid w:val="000D28D9"/>
    <w:rsid w:val="000D2EB3"/>
    <w:rsid w:val="000D3500"/>
    <w:rsid w:val="000D38C1"/>
    <w:rsid w:val="000D3A85"/>
    <w:rsid w:val="000D4A19"/>
    <w:rsid w:val="000D54E4"/>
    <w:rsid w:val="000D562D"/>
    <w:rsid w:val="000D61A5"/>
    <w:rsid w:val="000D6795"/>
    <w:rsid w:val="000D69D9"/>
    <w:rsid w:val="000E0964"/>
    <w:rsid w:val="000E307A"/>
    <w:rsid w:val="000E7AFC"/>
    <w:rsid w:val="000F1D10"/>
    <w:rsid w:val="000F34EA"/>
    <w:rsid w:val="000F52C0"/>
    <w:rsid w:val="000F7CFA"/>
    <w:rsid w:val="001002BD"/>
    <w:rsid w:val="0010115C"/>
    <w:rsid w:val="0010211F"/>
    <w:rsid w:val="001035EE"/>
    <w:rsid w:val="00105955"/>
    <w:rsid w:val="00105956"/>
    <w:rsid w:val="0010653A"/>
    <w:rsid w:val="001068AD"/>
    <w:rsid w:val="001071EF"/>
    <w:rsid w:val="00110734"/>
    <w:rsid w:val="00110788"/>
    <w:rsid w:val="00110E0C"/>
    <w:rsid w:val="001114FB"/>
    <w:rsid w:val="00112902"/>
    <w:rsid w:val="00114288"/>
    <w:rsid w:val="001144CA"/>
    <w:rsid w:val="00115B0B"/>
    <w:rsid w:val="00116969"/>
    <w:rsid w:val="0011717A"/>
    <w:rsid w:val="001174D9"/>
    <w:rsid w:val="00117AD8"/>
    <w:rsid w:val="00120526"/>
    <w:rsid w:val="00120F03"/>
    <w:rsid w:val="00121C52"/>
    <w:rsid w:val="001226CC"/>
    <w:rsid w:val="00123127"/>
    <w:rsid w:val="00123180"/>
    <w:rsid w:val="00124745"/>
    <w:rsid w:val="00124D90"/>
    <w:rsid w:val="00125A55"/>
    <w:rsid w:val="00125E41"/>
    <w:rsid w:val="001268BF"/>
    <w:rsid w:val="00127AD5"/>
    <w:rsid w:val="00127B27"/>
    <w:rsid w:val="00130CC3"/>
    <w:rsid w:val="00130F39"/>
    <w:rsid w:val="00131F66"/>
    <w:rsid w:val="00131F6A"/>
    <w:rsid w:val="001325E7"/>
    <w:rsid w:val="001333B0"/>
    <w:rsid w:val="001358C0"/>
    <w:rsid w:val="00136190"/>
    <w:rsid w:val="00136651"/>
    <w:rsid w:val="0013721F"/>
    <w:rsid w:val="00137B23"/>
    <w:rsid w:val="0014121B"/>
    <w:rsid w:val="00141A4C"/>
    <w:rsid w:val="00141F65"/>
    <w:rsid w:val="0014514B"/>
    <w:rsid w:val="00145F0C"/>
    <w:rsid w:val="0014676D"/>
    <w:rsid w:val="00146A92"/>
    <w:rsid w:val="00146C87"/>
    <w:rsid w:val="00147299"/>
    <w:rsid w:val="00147EB0"/>
    <w:rsid w:val="001500BE"/>
    <w:rsid w:val="00150465"/>
    <w:rsid w:val="001533B7"/>
    <w:rsid w:val="001558D1"/>
    <w:rsid w:val="0015627B"/>
    <w:rsid w:val="00156451"/>
    <w:rsid w:val="00156D8D"/>
    <w:rsid w:val="00157A25"/>
    <w:rsid w:val="00162073"/>
    <w:rsid w:val="001636C9"/>
    <w:rsid w:val="00163773"/>
    <w:rsid w:val="00164577"/>
    <w:rsid w:val="0016485C"/>
    <w:rsid w:val="00165681"/>
    <w:rsid w:val="00166374"/>
    <w:rsid w:val="001667E5"/>
    <w:rsid w:val="00166B96"/>
    <w:rsid w:val="001677A7"/>
    <w:rsid w:val="00167D46"/>
    <w:rsid w:val="00170437"/>
    <w:rsid w:val="00171EB9"/>
    <w:rsid w:val="00173B22"/>
    <w:rsid w:val="00174189"/>
    <w:rsid w:val="00174AB0"/>
    <w:rsid w:val="00175494"/>
    <w:rsid w:val="00175E0E"/>
    <w:rsid w:val="001775A7"/>
    <w:rsid w:val="00177DF7"/>
    <w:rsid w:val="00181BCA"/>
    <w:rsid w:val="00182274"/>
    <w:rsid w:val="0018231A"/>
    <w:rsid w:val="0018236B"/>
    <w:rsid w:val="00182834"/>
    <w:rsid w:val="00182A53"/>
    <w:rsid w:val="00185501"/>
    <w:rsid w:val="001863FB"/>
    <w:rsid w:val="00186688"/>
    <w:rsid w:val="0019061B"/>
    <w:rsid w:val="001906E3"/>
    <w:rsid w:val="00191603"/>
    <w:rsid w:val="001918EE"/>
    <w:rsid w:val="00192244"/>
    <w:rsid w:val="0019338F"/>
    <w:rsid w:val="00194C3C"/>
    <w:rsid w:val="00194FDC"/>
    <w:rsid w:val="00195D23"/>
    <w:rsid w:val="00196751"/>
    <w:rsid w:val="001A0C4C"/>
    <w:rsid w:val="001A0FB2"/>
    <w:rsid w:val="001A12E9"/>
    <w:rsid w:val="001A166F"/>
    <w:rsid w:val="001A2238"/>
    <w:rsid w:val="001A47E0"/>
    <w:rsid w:val="001A5A0E"/>
    <w:rsid w:val="001A689F"/>
    <w:rsid w:val="001A6B10"/>
    <w:rsid w:val="001A77C2"/>
    <w:rsid w:val="001A7A4E"/>
    <w:rsid w:val="001B2492"/>
    <w:rsid w:val="001B3098"/>
    <w:rsid w:val="001B37EF"/>
    <w:rsid w:val="001B3CFF"/>
    <w:rsid w:val="001B457A"/>
    <w:rsid w:val="001B616F"/>
    <w:rsid w:val="001B667E"/>
    <w:rsid w:val="001B678B"/>
    <w:rsid w:val="001B69E2"/>
    <w:rsid w:val="001B6B76"/>
    <w:rsid w:val="001B6D83"/>
    <w:rsid w:val="001B7771"/>
    <w:rsid w:val="001C0452"/>
    <w:rsid w:val="001C0EB6"/>
    <w:rsid w:val="001C1BF5"/>
    <w:rsid w:val="001C1D2E"/>
    <w:rsid w:val="001C2110"/>
    <w:rsid w:val="001C2881"/>
    <w:rsid w:val="001C288E"/>
    <w:rsid w:val="001C391E"/>
    <w:rsid w:val="001C3FCD"/>
    <w:rsid w:val="001C5321"/>
    <w:rsid w:val="001C5846"/>
    <w:rsid w:val="001C5EEF"/>
    <w:rsid w:val="001C63B2"/>
    <w:rsid w:val="001C6553"/>
    <w:rsid w:val="001D071F"/>
    <w:rsid w:val="001D4E5E"/>
    <w:rsid w:val="001D574F"/>
    <w:rsid w:val="001D5833"/>
    <w:rsid w:val="001D5F32"/>
    <w:rsid w:val="001D61A6"/>
    <w:rsid w:val="001D62EB"/>
    <w:rsid w:val="001D6804"/>
    <w:rsid w:val="001E07B7"/>
    <w:rsid w:val="001E0C09"/>
    <w:rsid w:val="001E0F0A"/>
    <w:rsid w:val="001E14E3"/>
    <w:rsid w:val="001E1A6C"/>
    <w:rsid w:val="001E298D"/>
    <w:rsid w:val="001E2B42"/>
    <w:rsid w:val="001E40C4"/>
    <w:rsid w:val="001E46D1"/>
    <w:rsid w:val="001E572C"/>
    <w:rsid w:val="001E6955"/>
    <w:rsid w:val="001E7B8A"/>
    <w:rsid w:val="001F00F6"/>
    <w:rsid w:val="001F23F6"/>
    <w:rsid w:val="001F357F"/>
    <w:rsid w:val="001F3698"/>
    <w:rsid w:val="001F5B93"/>
    <w:rsid w:val="002000BD"/>
    <w:rsid w:val="00201792"/>
    <w:rsid w:val="002018B6"/>
    <w:rsid w:val="00202EE9"/>
    <w:rsid w:val="002067BC"/>
    <w:rsid w:val="00207597"/>
    <w:rsid w:val="00207969"/>
    <w:rsid w:val="00207D7D"/>
    <w:rsid w:val="00207F98"/>
    <w:rsid w:val="00210814"/>
    <w:rsid w:val="002113B5"/>
    <w:rsid w:val="00212B05"/>
    <w:rsid w:val="0021306B"/>
    <w:rsid w:val="00213DB6"/>
    <w:rsid w:val="002144CF"/>
    <w:rsid w:val="00214BDE"/>
    <w:rsid w:val="002150CB"/>
    <w:rsid w:val="0021714A"/>
    <w:rsid w:val="002172A1"/>
    <w:rsid w:val="0021756E"/>
    <w:rsid w:val="00220C82"/>
    <w:rsid w:val="00220D29"/>
    <w:rsid w:val="00221266"/>
    <w:rsid w:val="002229B9"/>
    <w:rsid w:val="00223895"/>
    <w:rsid w:val="00223913"/>
    <w:rsid w:val="00223A28"/>
    <w:rsid w:val="00223F48"/>
    <w:rsid w:val="00224139"/>
    <w:rsid w:val="00224DDC"/>
    <w:rsid w:val="00224E0D"/>
    <w:rsid w:val="00224EC7"/>
    <w:rsid w:val="002255FA"/>
    <w:rsid w:val="00226176"/>
    <w:rsid w:val="0022740F"/>
    <w:rsid w:val="00227562"/>
    <w:rsid w:val="00232108"/>
    <w:rsid w:val="00232E9E"/>
    <w:rsid w:val="002363D2"/>
    <w:rsid w:val="00236441"/>
    <w:rsid w:val="00241073"/>
    <w:rsid w:val="002417F7"/>
    <w:rsid w:val="00241D15"/>
    <w:rsid w:val="00241EDC"/>
    <w:rsid w:val="00242182"/>
    <w:rsid w:val="00242D38"/>
    <w:rsid w:val="0024305D"/>
    <w:rsid w:val="0024318C"/>
    <w:rsid w:val="0024427D"/>
    <w:rsid w:val="002466F0"/>
    <w:rsid w:val="00246AB2"/>
    <w:rsid w:val="002471FE"/>
    <w:rsid w:val="00250CEB"/>
    <w:rsid w:val="00250F21"/>
    <w:rsid w:val="0025188A"/>
    <w:rsid w:val="002520D1"/>
    <w:rsid w:val="002532CC"/>
    <w:rsid w:val="0025352D"/>
    <w:rsid w:val="002535BE"/>
    <w:rsid w:val="0025469C"/>
    <w:rsid w:val="00254976"/>
    <w:rsid w:val="00256C4A"/>
    <w:rsid w:val="00256D72"/>
    <w:rsid w:val="002575BA"/>
    <w:rsid w:val="00257789"/>
    <w:rsid w:val="002578F1"/>
    <w:rsid w:val="002602E7"/>
    <w:rsid w:val="002608D8"/>
    <w:rsid w:val="00260ECB"/>
    <w:rsid w:val="00261A14"/>
    <w:rsid w:val="00261A78"/>
    <w:rsid w:val="002620AC"/>
    <w:rsid w:val="002632FA"/>
    <w:rsid w:val="002637FC"/>
    <w:rsid w:val="0026554C"/>
    <w:rsid w:val="00266AD8"/>
    <w:rsid w:val="002701D6"/>
    <w:rsid w:val="002704A3"/>
    <w:rsid w:val="00274EC8"/>
    <w:rsid w:val="002759BE"/>
    <w:rsid w:val="002764E5"/>
    <w:rsid w:val="00276563"/>
    <w:rsid w:val="0027674F"/>
    <w:rsid w:val="00277225"/>
    <w:rsid w:val="00280919"/>
    <w:rsid w:val="00281BD4"/>
    <w:rsid w:val="00283636"/>
    <w:rsid w:val="00283924"/>
    <w:rsid w:val="00283C5A"/>
    <w:rsid w:val="00283E8D"/>
    <w:rsid w:val="002842BC"/>
    <w:rsid w:val="00293BEA"/>
    <w:rsid w:val="00293F78"/>
    <w:rsid w:val="002943A3"/>
    <w:rsid w:val="002951FC"/>
    <w:rsid w:val="002955DA"/>
    <w:rsid w:val="002964AA"/>
    <w:rsid w:val="00296AB7"/>
    <w:rsid w:val="002A03EA"/>
    <w:rsid w:val="002A3044"/>
    <w:rsid w:val="002A3077"/>
    <w:rsid w:val="002A342E"/>
    <w:rsid w:val="002A36B9"/>
    <w:rsid w:val="002A4BD5"/>
    <w:rsid w:val="002A4EC4"/>
    <w:rsid w:val="002A5308"/>
    <w:rsid w:val="002B0EF4"/>
    <w:rsid w:val="002B2403"/>
    <w:rsid w:val="002B24B1"/>
    <w:rsid w:val="002B628E"/>
    <w:rsid w:val="002B680B"/>
    <w:rsid w:val="002B6B83"/>
    <w:rsid w:val="002B7371"/>
    <w:rsid w:val="002C063C"/>
    <w:rsid w:val="002C10CC"/>
    <w:rsid w:val="002C1C5D"/>
    <w:rsid w:val="002C2BE0"/>
    <w:rsid w:val="002C2D1B"/>
    <w:rsid w:val="002C2D96"/>
    <w:rsid w:val="002C41D1"/>
    <w:rsid w:val="002C4B5A"/>
    <w:rsid w:val="002C554C"/>
    <w:rsid w:val="002C57FB"/>
    <w:rsid w:val="002C6D01"/>
    <w:rsid w:val="002C6D99"/>
    <w:rsid w:val="002C731C"/>
    <w:rsid w:val="002D1123"/>
    <w:rsid w:val="002D1E2C"/>
    <w:rsid w:val="002D26A4"/>
    <w:rsid w:val="002D28A5"/>
    <w:rsid w:val="002D326F"/>
    <w:rsid w:val="002D3328"/>
    <w:rsid w:val="002D37C1"/>
    <w:rsid w:val="002D3DBF"/>
    <w:rsid w:val="002D53B5"/>
    <w:rsid w:val="002D6275"/>
    <w:rsid w:val="002D6B2D"/>
    <w:rsid w:val="002D6E62"/>
    <w:rsid w:val="002D7EFF"/>
    <w:rsid w:val="002E0539"/>
    <w:rsid w:val="002E116D"/>
    <w:rsid w:val="002E1605"/>
    <w:rsid w:val="002E1F36"/>
    <w:rsid w:val="002E20EC"/>
    <w:rsid w:val="002E2112"/>
    <w:rsid w:val="002E2E6D"/>
    <w:rsid w:val="002E54B7"/>
    <w:rsid w:val="002E59F6"/>
    <w:rsid w:val="002F1326"/>
    <w:rsid w:val="002F13D2"/>
    <w:rsid w:val="002F16F6"/>
    <w:rsid w:val="002F16FC"/>
    <w:rsid w:val="002F1C83"/>
    <w:rsid w:val="002F28EB"/>
    <w:rsid w:val="002F3287"/>
    <w:rsid w:val="002F353C"/>
    <w:rsid w:val="002F3A7E"/>
    <w:rsid w:val="002F3C70"/>
    <w:rsid w:val="002F3FA4"/>
    <w:rsid w:val="002F43EE"/>
    <w:rsid w:val="002F6E31"/>
    <w:rsid w:val="00300A3F"/>
    <w:rsid w:val="0030138A"/>
    <w:rsid w:val="00301A27"/>
    <w:rsid w:val="003027ED"/>
    <w:rsid w:val="00302E1A"/>
    <w:rsid w:val="00305EB2"/>
    <w:rsid w:val="003061CD"/>
    <w:rsid w:val="003066F4"/>
    <w:rsid w:val="00310B33"/>
    <w:rsid w:val="00310D3B"/>
    <w:rsid w:val="003121AE"/>
    <w:rsid w:val="003128F8"/>
    <w:rsid w:val="00312C09"/>
    <w:rsid w:val="00313007"/>
    <w:rsid w:val="00313397"/>
    <w:rsid w:val="00314ADC"/>
    <w:rsid w:val="003154F1"/>
    <w:rsid w:val="00316A72"/>
    <w:rsid w:val="00317620"/>
    <w:rsid w:val="0032020F"/>
    <w:rsid w:val="00320956"/>
    <w:rsid w:val="003209AC"/>
    <w:rsid w:val="00322497"/>
    <w:rsid w:val="00323259"/>
    <w:rsid w:val="00324517"/>
    <w:rsid w:val="00325B24"/>
    <w:rsid w:val="003260FD"/>
    <w:rsid w:val="0032756A"/>
    <w:rsid w:val="00327877"/>
    <w:rsid w:val="003279C9"/>
    <w:rsid w:val="00330B3E"/>
    <w:rsid w:val="003317BE"/>
    <w:rsid w:val="00331B0E"/>
    <w:rsid w:val="00332738"/>
    <w:rsid w:val="00332ABB"/>
    <w:rsid w:val="003332CD"/>
    <w:rsid w:val="0033335E"/>
    <w:rsid w:val="003334F7"/>
    <w:rsid w:val="00334C15"/>
    <w:rsid w:val="00334CAC"/>
    <w:rsid w:val="00335A27"/>
    <w:rsid w:val="003378C8"/>
    <w:rsid w:val="003400C5"/>
    <w:rsid w:val="003422DF"/>
    <w:rsid w:val="003423F3"/>
    <w:rsid w:val="00344902"/>
    <w:rsid w:val="00346307"/>
    <w:rsid w:val="003464AB"/>
    <w:rsid w:val="00346ACA"/>
    <w:rsid w:val="003473D5"/>
    <w:rsid w:val="00350348"/>
    <w:rsid w:val="00351175"/>
    <w:rsid w:val="003516A8"/>
    <w:rsid w:val="00351E0E"/>
    <w:rsid w:val="00353051"/>
    <w:rsid w:val="00353EC5"/>
    <w:rsid w:val="003563A4"/>
    <w:rsid w:val="00356B27"/>
    <w:rsid w:val="00356D3E"/>
    <w:rsid w:val="003606F4"/>
    <w:rsid w:val="0036112D"/>
    <w:rsid w:val="003615DE"/>
    <w:rsid w:val="00361F83"/>
    <w:rsid w:val="0036328A"/>
    <w:rsid w:val="0036422A"/>
    <w:rsid w:val="0036752A"/>
    <w:rsid w:val="0037065B"/>
    <w:rsid w:val="00370D9D"/>
    <w:rsid w:val="003722C7"/>
    <w:rsid w:val="00373BE6"/>
    <w:rsid w:val="0037408E"/>
    <w:rsid w:val="00375B93"/>
    <w:rsid w:val="00376285"/>
    <w:rsid w:val="00377A41"/>
    <w:rsid w:val="00380F7E"/>
    <w:rsid w:val="00382253"/>
    <w:rsid w:val="00384A60"/>
    <w:rsid w:val="00384FFC"/>
    <w:rsid w:val="00385543"/>
    <w:rsid w:val="0038644A"/>
    <w:rsid w:val="0038708F"/>
    <w:rsid w:val="0038761C"/>
    <w:rsid w:val="00390D41"/>
    <w:rsid w:val="003915B0"/>
    <w:rsid w:val="00391A81"/>
    <w:rsid w:val="0039435B"/>
    <w:rsid w:val="00394ECE"/>
    <w:rsid w:val="003969E6"/>
    <w:rsid w:val="003A0916"/>
    <w:rsid w:val="003A1DEA"/>
    <w:rsid w:val="003A2635"/>
    <w:rsid w:val="003A413B"/>
    <w:rsid w:val="003A49A1"/>
    <w:rsid w:val="003A4E32"/>
    <w:rsid w:val="003B03F8"/>
    <w:rsid w:val="003B0DF5"/>
    <w:rsid w:val="003B18A4"/>
    <w:rsid w:val="003B2C26"/>
    <w:rsid w:val="003B3318"/>
    <w:rsid w:val="003B3DC8"/>
    <w:rsid w:val="003B5013"/>
    <w:rsid w:val="003B5EFB"/>
    <w:rsid w:val="003B67CA"/>
    <w:rsid w:val="003B78AE"/>
    <w:rsid w:val="003B79C0"/>
    <w:rsid w:val="003C1CF0"/>
    <w:rsid w:val="003C3D2D"/>
    <w:rsid w:val="003C4A5D"/>
    <w:rsid w:val="003C4D1B"/>
    <w:rsid w:val="003C5A07"/>
    <w:rsid w:val="003C5B76"/>
    <w:rsid w:val="003C6383"/>
    <w:rsid w:val="003D0B74"/>
    <w:rsid w:val="003D1824"/>
    <w:rsid w:val="003D2E9F"/>
    <w:rsid w:val="003D5094"/>
    <w:rsid w:val="003D6750"/>
    <w:rsid w:val="003D6EA1"/>
    <w:rsid w:val="003D7C8D"/>
    <w:rsid w:val="003E032D"/>
    <w:rsid w:val="003E18F3"/>
    <w:rsid w:val="003E2867"/>
    <w:rsid w:val="003E2F84"/>
    <w:rsid w:val="003E328F"/>
    <w:rsid w:val="003E34CD"/>
    <w:rsid w:val="003E3BF9"/>
    <w:rsid w:val="003E476C"/>
    <w:rsid w:val="003E742A"/>
    <w:rsid w:val="003E7919"/>
    <w:rsid w:val="003F0264"/>
    <w:rsid w:val="003F07C0"/>
    <w:rsid w:val="003F0B82"/>
    <w:rsid w:val="003F0D01"/>
    <w:rsid w:val="003F1A84"/>
    <w:rsid w:val="003F3BCB"/>
    <w:rsid w:val="003F5642"/>
    <w:rsid w:val="003F5DF0"/>
    <w:rsid w:val="00400741"/>
    <w:rsid w:val="00400D03"/>
    <w:rsid w:val="00400F59"/>
    <w:rsid w:val="0040151C"/>
    <w:rsid w:val="004020E8"/>
    <w:rsid w:val="0040311B"/>
    <w:rsid w:val="00403978"/>
    <w:rsid w:val="0040431A"/>
    <w:rsid w:val="00405011"/>
    <w:rsid w:val="0040529C"/>
    <w:rsid w:val="0040667A"/>
    <w:rsid w:val="00406E61"/>
    <w:rsid w:val="00406E8E"/>
    <w:rsid w:val="004100AA"/>
    <w:rsid w:val="004108C1"/>
    <w:rsid w:val="00410A7C"/>
    <w:rsid w:val="00411B52"/>
    <w:rsid w:val="004123A6"/>
    <w:rsid w:val="00414261"/>
    <w:rsid w:val="0041439D"/>
    <w:rsid w:val="0041447D"/>
    <w:rsid w:val="0041463D"/>
    <w:rsid w:val="00415267"/>
    <w:rsid w:val="00415A21"/>
    <w:rsid w:val="00415B1B"/>
    <w:rsid w:val="00415D90"/>
    <w:rsid w:val="00417CE6"/>
    <w:rsid w:val="00421B0E"/>
    <w:rsid w:val="00422723"/>
    <w:rsid w:val="00422A5E"/>
    <w:rsid w:val="004231A5"/>
    <w:rsid w:val="004238DA"/>
    <w:rsid w:val="00425621"/>
    <w:rsid w:val="00425F9F"/>
    <w:rsid w:val="00426CCE"/>
    <w:rsid w:val="00427A2C"/>
    <w:rsid w:val="00432109"/>
    <w:rsid w:val="004322BB"/>
    <w:rsid w:val="004328B3"/>
    <w:rsid w:val="00434583"/>
    <w:rsid w:val="00434B4E"/>
    <w:rsid w:val="00434D57"/>
    <w:rsid w:val="00436EE8"/>
    <w:rsid w:val="00437AC4"/>
    <w:rsid w:val="00437B8D"/>
    <w:rsid w:val="00437BE2"/>
    <w:rsid w:val="004401B8"/>
    <w:rsid w:val="00440F7B"/>
    <w:rsid w:val="00441857"/>
    <w:rsid w:val="00443B9D"/>
    <w:rsid w:val="00445C55"/>
    <w:rsid w:val="004464C6"/>
    <w:rsid w:val="004466BD"/>
    <w:rsid w:val="004467F6"/>
    <w:rsid w:val="004478AB"/>
    <w:rsid w:val="00447A1B"/>
    <w:rsid w:val="00447F9B"/>
    <w:rsid w:val="00450818"/>
    <w:rsid w:val="0045128B"/>
    <w:rsid w:val="004515B2"/>
    <w:rsid w:val="00451D52"/>
    <w:rsid w:val="00453105"/>
    <w:rsid w:val="00453AD3"/>
    <w:rsid w:val="00454252"/>
    <w:rsid w:val="00456A00"/>
    <w:rsid w:val="00456C73"/>
    <w:rsid w:val="004570D7"/>
    <w:rsid w:val="00457366"/>
    <w:rsid w:val="004627F1"/>
    <w:rsid w:val="004632D8"/>
    <w:rsid w:val="004647FA"/>
    <w:rsid w:val="004653D1"/>
    <w:rsid w:val="00466624"/>
    <w:rsid w:val="00466EB4"/>
    <w:rsid w:val="004705C2"/>
    <w:rsid w:val="0047398B"/>
    <w:rsid w:val="00475337"/>
    <w:rsid w:val="00476100"/>
    <w:rsid w:val="004762ED"/>
    <w:rsid w:val="0047711C"/>
    <w:rsid w:val="00477EF5"/>
    <w:rsid w:val="0048035E"/>
    <w:rsid w:val="00483EC8"/>
    <w:rsid w:val="00483ED0"/>
    <w:rsid w:val="004859F5"/>
    <w:rsid w:val="00487FC1"/>
    <w:rsid w:val="00491C56"/>
    <w:rsid w:val="004943A1"/>
    <w:rsid w:val="00494A50"/>
    <w:rsid w:val="00496408"/>
    <w:rsid w:val="00497351"/>
    <w:rsid w:val="004973C0"/>
    <w:rsid w:val="00497752"/>
    <w:rsid w:val="004A113A"/>
    <w:rsid w:val="004A1E8C"/>
    <w:rsid w:val="004A264B"/>
    <w:rsid w:val="004A2E85"/>
    <w:rsid w:val="004A4D0D"/>
    <w:rsid w:val="004A5648"/>
    <w:rsid w:val="004A58FD"/>
    <w:rsid w:val="004B0860"/>
    <w:rsid w:val="004B0D23"/>
    <w:rsid w:val="004B0D75"/>
    <w:rsid w:val="004B1570"/>
    <w:rsid w:val="004B33FA"/>
    <w:rsid w:val="004B4115"/>
    <w:rsid w:val="004B41ED"/>
    <w:rsid w:val="004B56B4"/>
    <w:rsid w:val="004B5925"/>
    <w:rsid w:val="004B5B45"/>
    <w:rsid w:val="004B67AD"/>
    <w:rsid w:val="004B77BB"/>
    <w:rsid w:val="004B7B74"/>
    <w:rsid w:val="004B7CAB"/>
    <w:rsid w:val="004C06D5"/>
    <w:rsid w:val="004C08E5"/>
    <w:rsid w:val="004C0C46"/>
    <w:rsid w:val="004C1434"/>
    <w:rsid w:val="004C1A0D"/>
    <w:rsid w:val="004C253D"/>
    <w:rsid w:val="004C2886"/>
    <w:rsid w:val="004C3128"/>
    <w:rsid w:val="004C4064"/>
    <w:rsid w:val="004C5340"/>
    <w:rsid w:val="004C58FC"/>
    <w:rsid w:val="004C67EE"/>
    <w:rsid w:val="004C6974"/>
    <w:rsid w:val="004C69E5"/>
    <w:rsid w:val="004C6E4C"/>
    <w:rsid w:val="004C736B"/>
    <w:rsid w:val="004C761D"/>
    <w:rsid w:val="004C7EC2"/>
    <w:rsid w:val="004D1449"/>
    <w:rsid w:val="004D19F2"/>
    <w:rsid w:val="004D216D"/>
    <w:rsid w:val="004D24A0"/>
    <w:rsid w:val="004D255D"/>
    <w:rsid w:val="004D2ACA"/>
    <w:rsid w:val="004D3D17"/>
    <w:rsid w:val="004D3FF2"/>
    <w:rsid w:val="004D4ED9"/>
    <w:rsid w:val="004D5C90"/>
    <w:rsid w:val="004D634E"/>
    <w:rsid w:val="004D7326"/>
    <w:rsid w:val="004D7422"/>
    <w:rsid w:val="004E009E"/>
    <w:rsid w:val="004E0651"/>
    <w:rsid w:val="004E07B8"/>
    <w:rsid w:val="004E1BBE"/>
    <w:rsid w:val="004E1FDB"/>
    <w:rsid w:val="004E38A1"/>
    <w:rsid w:val="004E3CF9"/>
    <w:rsid w:val="004E4D92"/>
    <w:rsid w:val="004E4D9B"/>
    <w:rsid w:val="004E6F41"/>
    <w:rsid w:val="004E7B86"/>
    <w:rsid w:val="004F03DD"/>
    <w:rsid w:val="004F05EA"/>
    <w:rsid w:val="004F0D27"/>
    <w:rsid w:val="004F2016"/>
    <w:rsid w:val="004F43D9"/>
    <w:rsid w:val="004F46D2"/>
    <w:rsid w:val="004F4AE3"/>
    <w:rsid w:val="004F5E05"/>
    <w:rsid w:val="004F70D1"/>
    <w:rsid w:val="005001CB"/>
    <w:rsid w:val="00500C1A"/>
    <w:rsid w:val="00500FCD"/>
    <w:rsid w:val="00501E6F"/>
    <w:rsid w:val="00502F1D"/>
    <w:rsid w:val="0050385D"/>
    <w:rsid w:val="00503955"/>
    <w:rsid w:val="00505D9D"/>
    <w:rsid w:val="0050764E"/>
    <w:rsid w:val="00507B92"/>
    <w:rsid w:val="00510402"/>
    <w:rsid w:val="00510809"/>
    <w:rsid w:val="00510FEF"/>
    <w:rsid w:val="005127D1"/>
    <w:rsid w:val="00513722"/>
    <w:rsid w:val="00513814"/>
    <w:rsid w:val="005140D2"/>
    <w:rsid w:val="00514120"/>
    <w:rsid w:val="005148A5"/>
    <w:rsid w:val="00515D73"/>
    <w:rsid w:val="00516B13"/>
    <w:rsid w:val="00516F73"/>
    <w:rsid w:val="00517DA6"/>
    <w:rsid w:val="0052024E"/>
    <w:rsid w:val="00520B7B"/>
    <w:rsid w:val="00520BD3"/>
    <w:rsid w:val="00524447"/>
    <w:rsid w:val="00525353"/>
    <w:rsid w:val="0052625A"/>
    <w:rsid w:val="00526266"/>
    <w:rsid w:val="0052665B"/>
    <w:rsid w:val="00532108"/>
    <w:rsid w:val="00534C7B"/>
    <w:rsid w:val="00535D43"/>
    <w:rsid w:val="00535D5C"/>
    <w:rsid w:val="00536B9F"/>
    <w:rsid w:val="0054022E"/>
    <w:rsid w:val="005406D4"/>
    <w:rsid w:val="00542090"/>
    <w:rsid w:val="00542437"/>
    <w:rsid w:val="00542DB8"/>
    <w:rsid w:val="005433CB"/>
    <w:rsid w:val="00543466"/>
    <w:rsid w:val="00544E39"/>
    <w:rsid w:val="005457F2"/>
    <w:rsid w:val="005520CE"/>
    <w:rsid w:val="0055267B"/>
    <w:rsid w:val="0055403E"/>
    <w:rsid w:val="0055688E"/>
    <w:rsid w:val="00562116"/>
    <w:rsid w:val="00562474"/>
    <w:rsid w:val="00562C3C"/>
    <w:rsid w:val="005634B5"/>
    <w:rsid w:val="00563CA1"/>
    <w:rsid w:val="00563D17"/>
    <w:rsid w:val="00564F05"/>
    <w:rsid w:val="005668F9"/>
    <w:rsid w:val="005678AB"/>
    <w:rsid w:val="00567DAF"/>
    <w:rsid w:val="005700D6"/>
    <w:rsid w:val="00570455"/>
    <w:rsid w:val="00570B3A"/>
    <w:rsid w:val="005712EC"/>
    <w:rsid w:val="0057153D"/>
    <w:rsid w:val="005715D3"/>
    <w:rsid w:val="005719C8"/>
    <w:rsid w:val="00571F75"/>
    <w:rsid w:val="005725F5"/>
    <w:rsid w:val="00573500"/>
    <w:rsid w:val="00573D4A"/>
    <w:rsid w:val="00573E0D"/>
    <w:rsid w:val="005744EB"/>
    <w:rsid w:val="005753FE"/>
    <w:rsid w:val="00575E76"/>
    <w:rsid w:val="00577951"/>
    <w:rsid w:val="00580ABC"/>
    <w:rsid w:val="00582882"/>
    <w:rsid w:val="0058453D"/>
    <w:rsid w:val="005845C0"/>
    <w:rsid w:val="005852CB"/>
    <w:rsid w:val="005852D9"/>
    <w:rsid w:val="00586757"/>
    <w:rsid w:val="00587EE0"/>
    <w:rsid w:val="00590A82"/>
    <w:rsid w:val="00591370"/>
    <w:rsid w:val="0059173B"/>
    <w:rsid w:val="00591A6A"/>
    <w:rsid w:val="00591E6A"/>
    <w:rsid w:val="0059244A"/>
    <w:rsid w:val="0059290C"/>
    <w:rsid w:val="005935B3"/>
    <w:rsid w:val="00594052"/>
    <w:rsid w:val="005959FD"/>
    <w:rsid w:val="00595CE4"/>
    <w:rsid w:val="00595F3B"/>
    <w:rsid w:val="00597ED0"/>
    <w:rsid w:val="005A1CAF"/>
    <w:rsid w:val="005A26E9"/>
    <w:rsid w:val="005A336B"/>
    <w:rsid w:val="005A68A2"/>
    <w:rsid w:val="005A6CBF"/>
    <w:rsid w:val="005A7F74"/>
    <w:rsid w:val="005B0954"/>
    <w:rsid w:val="005B0BC5"/>
    <w:rsid w:val="005B1279"/>
    <w:rsid w:val="005B1B74"/>
    <w:rsid w:val="005B22D9"/>
    <w:rsid w:val="005B26D1"/>
    <w:rsid w:val="005B29C0"/>
    <w:rsid w:val="005B41F6"/>
    <w:rsid w:val="005B5B26"/>
    <w:rsid w:val="005B797A"/>
    <w:rsid w:val="005C1DFE"/>
    <w:rsid w:val="005C1E7E"/>
    <w:rsid w:val="005C240C"/>
    <w:rsid w:val="005C261D"/>
    <w:rsid w:val="005C28E2"/>
    <w:rsid w:val="005C30F1"/>
    <w:rsid w:val="005C33B4"/>
    <w:rsid w:val="005C426A"/>
    <w:rsid w:val="005C53FC"/>
    <w:rsid w:val="005C60AB"/>
    <w:rsid w:val="005C61AD"/>
    <w:rsid w:val="005C6C7B"/>
    <w:rsid w:val="005C6DDE"/>
    <w:rsid w:val="005C73B7"/>
    <w:rsid w:val="005C752F"/>
    <w:rsid w:val="005D1174"/>
    <w:rsid w:val="005D2555"/>
    <w:rsid w:val="005D271D"/>
    <w:rsid w:val="005D4B20"/>
    <w:rsid w:val="005D5B84"/>
    <w:rsid w:val="005D6DBC"/>
    <w:rsid w:val="005D6EE5"/>
    <w:rsid w:val="005D7077"/>
    <w:rsid w:val="005D7CC2"/>
    <w:rsid w:val="005E1624"/>
    <w:rsid w:val="005E1F05"/>
    <w:rsid w:val="005E26E3"/>
    <w:rsid w:val="005E58E9"/>
    <w:rsid w:val="005E63F9"/>
    <w:rsid w:val="005E73C2"/>
    <w:rsid w:val="005F00EA"/>
    <w:rsid w:val="005F0305"/>
    <w:rsid w:val="005F0355"/>
    <w:rsid w:val="005F1840"/>
    <w:rsid w:val="005F1AAF"/>
    <w:rsid w:val="005F3BC0"/>
    <w:rsid w:val="005F4DC2"/>
    <w:rsid w:val="005F5577"/>
    <w:rsid w:val="005F5ACA"/>
    <w:rsid w:val="005F619A"/>
    <w:rsid w:val="005F6996"/>
    <w:rsid w:val="005F6E4A"/>
    <w:rsid w:val="005F77CC"/>
    <w:rsid w:val="005F7ACF"/>
    <w:rsid w:val="006012A8"/>
    <w:rsid w:val="00601A24"/>
    <w:rsid w:val="00602E35"/>
    <w:rsid w:val="00603AAD"/>
    <w:rsid w:val="0060424B"/>
    <w:rsid w:val="006055AA"/>
    <w:rsid w:val="00605B51"/>
    <w:rsid w:val="0060660F"/>
    <w:rsid w:val="006066D2"/>
    <w:rsid w:val="0060730B"/>
    <w:rsid w:val="006073AF"/>
    <w:rsid w:val="00607857"/>
    <w:rsid w:val="006103F1"/>
    <w:rsid w:val="0061040A"/>
    <w:rsid w:val="00610D95"/>
    <w:rsid w:val="00611483"/>
    <w:rsid w:val="00611AE0"/>
    <w:rsid w:val="00612C37"/>
    <w:rsid w:val="00612F9B"/>
    <w:rsid w:val="00613845"/>
    <w:rsid w:val="006139A6"/>
    <w:rsid w:val="00613CA3"/>
    <w:rsid w:val="00614537"/>
    <w:rsid w:val="00614A17"/>
    <w:rsid w:val="00614E05"/>
    <w:rsid w:val="00615DEA"/>
    <w:rsid w:val="0061692D"/>
    <w:rsid w:val="00616EEC"/>
    <w:rsid w:val="00622374"/>
    <w:rsid w:val="0062313A"/>
    <w:rsid w:val="00623F47"/>
    <w:rsid w:val="00625161"/>
    <w:rsid w:val="00627A84"/>
    <w:rsid w:val="0063104C"/>
    <w:rsid w:val="00631E72"/>
    <w:rsid w:val="00632574"/>
    <w:rsid w:val="0063358B"/>
    <w:rsid w:val="0063450E"/>
    <w:rsid w:val="006346E2"/>
    <w:rsid w:val="006348DB"/>
    <w:rsid w:val="00635EFD"/>
    <w:rsid w:val="006363D3"/>
    <w:rsid w:val="00636793"/>
    <w:rsid w:val="00636944"/>
    <w:rsid w:val="00637DE6"/>
    <w:rsid w:val="00643D45"/>
    <w:rsid w:val="00644FA0"/>
    <w:rsid w:val="0064520F"/>
    <w:rsid w:val="00645C71"/>
    <w:rsid w:val="00645CF6"/>
    <w:rsid w:val="00647226"/>
    <w:rsid w:val="006479FE"/>
    <w:rsid w:val="00647A98"/>
    <w:rsid w:val="00651FC7"/>
    <w:rsid w:val="00653C57"/>
    <w:rsid w:val="00653FDB"/>
    <w:rsid w:val="0065415A"/>
    <w:rsid w:val="00655DAE"/>
    <w:rsid w:val="00660E22"/>
    <w:rsid w:val="00661EDA"/>
    <w:rsid w:val="00662EDE"/>
    <w:rsid w:val="00662F28"/>
    <w:rsid w:val="006644C5"/>
    <w:rsid w:val="0066473E"/>
    <w:rsid w:val="00664B59"/>
    <w:rsid w:val="00667A7C"/>
    <w:rsid w:val="0067037A"/>
    <w:rsid w:val="006708DA"/>
    <w:rsid w:val="006712AE"/>
    <w:rsid w:val="006712D7"/>
    <w:rsid w:val="00671457"/>
    <w:rsid w:val="00671DD1"/>
    <w:rsid w:val="00672631"/>
    <w:rsid w:val="00673AC6"/>
    <w:rsid w:val="00673BA8"/>
    <w:rsid w:val="006749F2"/>
    <w:rsid w:val="00674A72"/>
    <w:rsid w:val="00675BDD"/>
    <w:rsid w:val="00675ECE"/>
    <w:rsid w:val="00682B00"/>
    <w:rsid w:val="00682B9C"/>
    <w:rsid w:val="00683453"/>
    <w:rsid w:val="00683683"/>
    <w:rsid w:val="00683A41"/>
    <w:rsid w:val="006849FF"/>
    <w:rsid w:val="00685D09"/>
    <w:rsid w:val="0068629C"/>
    <w:rsid w:val="00686546"/>
    <w:rsid w:val="00686B5D"/>
    <w:rsid w:val="00686DF1"/>
    <w:rsid w:val="00687244"/>
    <w:rsid w:val="00687ADF"/>
    <w:rsid w:val="00687EAB"/>
    <w:rsid w:val="00687F4E"/>
    <w:rsid w:val="0069007E"/>
    <w:rsid w:val="00690F22"/>
    <w:rsid w:val="0069143E"/>
    <w:rsid w:val="0069164C"/>
    <w:rsid w:val="00691B32"/>
    <w:rsid w:val="00692A4A"/>
    <w:rsid w:val="00694766"/>
    <w:rsid w:val="006947FD"/>
    <w:rsid w:val="006965D2"/>
    <w:rsid w:val="00696A31"/>
    <w:rsid w:val="00697269"/>
    <w:rsid w:val="00697907"/>
    <w:rsid w:val="00697B65"/>
    <w:rsid w:val="00697CA5"/>
    <w:rsid w:val="006A07A4"/>
    <w:rsid w:val="006A21BB"/>
    <w:rsid w:val="006A224A"/>
    <w:rsid w:val="006A2262"/>
    <w:rsid w:val="006A2428"/>
    <w:rsid w:val="006A345B"/>
    <w:rsid w:val="006A4BB1"/>
    <w:rsid w:val="006A5548"/>
    <w:rsid w:val="006A558E"/>
    <w:rsid w:val="006A71AF"/>
    <w:rsid w:val="006B060C"/>
    <w:rsid w:val="006B3FDD"/>
    <w:rsid w:val="006B4152"/>
    <w:rsid w:val="006B466E"/>
    <w:rsid w:val="006B5ACD"/>
    <w:rsid w:val="006B5B9C"/>
    <w:rsid w:val="006B6298"/>
    <w:rsid w:val="006B74E6"/>
    <w:rsid w:val="006B7810"/>
    <w:rsid w:val="006C021F"/>
    <w:rsid w:val="006C09EA"/>
    <w:rsid w:val="006C1311"/>
    <w:rsid w:val="006C1A9E"/>
    <w:rsid w:val="006C2530"/>
    <w:rsid w:val="006C71AA"/>
    <w:rsid w:val="006C78B2"/>
    <w:rsid w:val="006C7ED7"/>
    <w:rsid w:val="006D0D45"/>
    <w:rsid w:val="006D1864"/>
    <w:rsid w:val="006D329A"/>
    <w:rsid w:val="006D3F60"/>
    <w:rsid w:val="006D4DE3"/>
    <w:rsid w:val="006D4E38"/>
    <w:rsid w:val="006D5909"/>
    <w:rsid w:val="006D6982"/>
    <w:rsid w:val="006D6988"/>
    <w:rsid w:val="006D6A38"/>
    <w:rsid w:val="006D7269"/>
    <w:rsid w:val="006D7CBF"/>
    <w:rsid w:val="006E1DCA"/>
    <w:rsid w:val="006E1FED"/>
    <w:rsid w:val="006E2213"/>
    <w:rsid w:val="006E4A4F"/>
    <w:rsid w:val="006E4AEE"/>
    <w:rsid w:val="006E4CDD"/>
    <w:rsid w:val="006E4DE5"/>
    <w:rsid w:val="006E512F"/>
    <w:rsid w:val="006F1233"/>
    <w:rsid w:val="006F13FF"/>
    <w:rsid w:val="006F15D0"/>
    <w:rsid w:val="006F1FE8"/>
    <w:rsid w:val="006F5868"/>
    <w:rsid w:val="006F5B4F"/>
    <w:rsid w:val="006F61F0"/>
    <w:rsid w:val="006F7B89"/>
    <w:rsid w:val="00701BD4"/>
    <w:rsid w:val="007028C3"/>
    <w:rsid w:val="00702B30"/>
    <w:rsid w:val="007033B6"/>
    <w:rsid w:val="00704354"/>
    <w:rsid w:val="00705256"/>
    <w:rsid w:val="00705F6B"/>
    <w:rsid w:val="007063B4"/>
    <w:rsid w:val="0070678C"/>
    <w:rsid w:val="00707564"/>
    <w:rsid w:val="00710201"/>
    <w:rsid w:val="00710A74"/>
    <w:rsid w:val="00711B8D"/>
    <w:rsid w:val="007121B9"/>
    <w:rsid w:val="007123DA"/>
    <w:rsid w:val="007127C9"/>
    <w:rsid w:val="007147EF"/>
    <w:rsid w:val="00714ED8"/>
    <w:rsid w:val="00715CBC"/>
    <w:rsid w:val="0071667F"/>
    <w:rsid w:val="00716BCB"/>
    <w:rsid w:val="00717348"/>
    <w:rsid w:val="007178B7"/>
    <w:rsid w:val="00717939"/>
    <w:rsid w:val="00717B87"/>
    <w:rsid w:val="00717B9D"/>
    <w:rsid w:val="00717F24"/>
    <w:rsid w:val="00720197"/>
    <w:rsid w:val="00723CF1"/>
    <w:rsid w:val="00725794"/>
    <w:rsid w:val="00725ACD"/>
    <w:rsid w:val="00725E44"/>
    <w:rsid w:val="0072660D"/>
    <w:rsid w:val="007267D2"/>
    <w:rsid w:val="0072702C"/>
    <w:rsid w:val="007305E5"/>
    <w:rsid w:val="00730C21"/>
    <w:rsid w:val="007314F0"/>
    <w:rsid w:val="00732083"/>
    <w:rsid w:val="00732933"/>
    <w:rsid w:val="007345E5"/>
    <w:rsid w:val="0073495A"/>
    <w:rsid w:val="00734EE2"/>
    <w:rsid w:val="00735942"/>
    <w:rsid w:val="00735AAE"/>
    <w:rsid w:val="007363D7"/>
    <w:rsid w:val="007372E9"/>
    <w:rsid w:val="00742C83"/>
    <w:rsid w:val="007436E7"/>
    <w:rsid w:val="0074490E"/>
    <w:rsid w:val="00747757"/>
    <w:rsid w:val="00747B36"/>
    <w:rsid w:val="00751623"/>
    <w:rsid w:val="00751FA4"/>
    <w:rsid w:val="007536D8"/>
    <w:rsid w:val="007539AD"/>
    <w:rsid w:val="00753E2B"/>
    <w:rsid w:val="0075549A"/>
    <w:rsid w:val="007560E8"/>
    <w:rsid w:val="00756551"/>
    <w:rsid w:val="0075691C"/>
    <w:rsid w:val="00756D4A"/>
    <w:rsid w:val="00756FEC"/>
    <w:rsid w:val="007579CF"/>
    <w:rsid w:val="0076040D"/>
    <w:rsid w:val="00760D72"/>
    <w:rsid w:val="00761777"/>
    <w:rsid w:val="007634A1"/>
    <w:rsid w:val="00764AB6"/>
    <w:rsid w:val="00767A46"/>
    <w:rsid w:val="0077068C"/>
    <w:rsid w:val="00770F67"/>
    <w:rsid w:val="0077197F"/>
    <w:rsid w:val="00771B03"/>
    <w:rsid w:val="0077221D"/>
    <w:rsid w:val="00772D16"/>
    <w:rsid w:val="00773EF6"/>
    <w:rsid w:val="00774FA6"/>
    <w:rsid w:val="0077578A"/>
    <w:rsid w:val="00776418"/>
    <w:rsid w:val="007801E3"/>
    <w:rsid w:val="007803AC"/>
    <w:rsid w:val="00780C75"/>
    <w:rsid w:val="00780EAA"/>
    <w:rsid w:val="00780ED4"/>
    <w:rsid w:val="00781028"/>
    <w:rsid w:val="0078257D"/>
    <w:rsid w:val="00785DA2"/>
    <w:rsid w:val="0078610C"/>
    <w:rsid w:val="00786D28"/>
    <w:rsid w:val="00786F15"/>
    <w:rsid w:val="0078768E"/>
    <w:rsid w:val="00787FBD"/>
    <w:rsid w:val="007912CA"/>
    <w:rsid w:val="0079140A"/>
    <w:rsid w:val="00791503"/>
    <w:rsid w:val="007927FA"/>
    <w:rsid w:val="00792BA2"/>
    <w:rsid w:val="00792E67"/>
    <w:rsid w:val="00793D49"/>
    <w:rsid w:val="00793FF1"/>
    <w:rsid w:val="00794157"/>
    <w:rsid w:val="00794377"/>
    <w:rsid w:val="007944AE"/>
    <w:rsid w:val="0079586F"/>
    <w:rsid w:val="00797042"/>
    <w:rsid w:val="007A08DF"/>
    <w:rsid w:val="007A092F"/>
    <w:rsid w:val="007A1A83"/>
    <w:rsid w:val="007A1CA7"/>
    <w:rsid w:val="007A2529"/>
    <w:rsid w:val="007A42EA"/>
    <w:rsid w:val="007A6E4A"/>
    <w:rsid w:val="007A7296"/>
    <w:rsid w:val="007B1217"/>
    <w:rsid w:val="007B3F5D"/>
    <w:rsid w:val="007B4CC2"/>
    <w:rsid w:val="007B6AD3"/>
    <w:rsid w:val="007C0FEA"/>
    <w:rsid w:val="007C2108"/>
    <w:rsid w:val="007C3175"/>
    <w:rsid w:val="007C40B4"/>
    <w:rsid w:val="007C4173"/>
    <w:rsid w:val="007C4379"/>
    <w:rsid w:val="007D134F"/>
    <w:rsid w:val="007D1976"/>
    <w:rsid w:val="007D21FE"/>
    <w:rsid w:val="007D2698"/>
    <w:rsid w:val="007D402C"/>
    <w:rsid w:val="007D4445"/>
    <w:rsid w:val="007D5AFD"/>
    <w:rsid w:val="007D60A9"/>
    <w:rsid w:val="007D6D0C"/>
    <w:rsid w:val="007D6DDE"/>
    <w:rsid w:val="007D7B82"/>
    <w:rsid w:val="007E0023"/>
    <w:rsid w:val="007E080D"/>
    <w:rsid w:val="007E08B3"/>
    <w:rsid w:val="007E0DB3"/>
    <w:rsid w:val="007E2009"/>
    <w:rsid w:val="007E3B17"/>
    <w:rsid w:val="007E4447"/>
    <w:rsid w:val="007E475C"/>
    <w:rsid w:val="007E4C26"/>
    <w:rsid w:val="007F14AC"/>
    <w:rsid w:val="007F29CF"/>
    <w:rsid w:val="007F2F02"/>
    <w:rsid w:val="007F45E1"/>
    <w:rsid w:val="007F5100"/>
    <w:rsid w:val="007F572D"/>
    <w:rsid w:val="007F6C05"/>
    <w:rsid w:val="007F6F8E"/>
    <w:rsid w:val="007F74B4"/>
    <w:rsid w:val="007F7AA4"/>
    <w:rsid w:val="007F7DF0"/>
    <w:rsid w:val="008001BF"/>
    <w:rsid w:val="00800F2D"/>
    <w:rsid w:val="0080151D"/>
    <w:rsid w:val="008018B7"/>
    <w:rsid w:val="0080433C"/>
    <w:rsid w:val="00805592"/>
    <w:rsid w:val="00805DDC"/>
    <w:rsid w:val="00806AEF"/>
    <w:rsid w:val="00806AF8"/>
    <w:rsid w:val="00807D1A"/>
    <w:rsid w:val="0081133E"/>
    <w:rsid w:val="00811DB3"/>
    <w:rsid w:val="00813F45"/>
    <w:rsid w:val="0081420A"/>
    <w:rsid w:val="008144D0"/>
    <w:rsid w:val="00814583"/>
    <w:rsid w:val="008148B0"/>
    <w:rsid w:val="00814BF5"/>
    <w:rsid w:val="00815256"/>
    <w:rsid w:val="00815EA3"/>
    <w:rsid w:val="0081609A"/>
    <w:rsid w:val="008179FC"/>
    <w:rsid w:val="008202D8"/>
    <w:rsid w:val="0082040D"/>
    <w:rsid w:val="00820E32"/>
    <w:rsid w:val="008229F9"/>
    <w:rsid w:val="00823A97"/>
    <w:rsid w:val="008240CF"/>
    <w:rsid w:val="00824151"/>
    <w:rsid w:val="00824F0B"/>
    <w:rsid w:val="00827C66"/>
    <w:rsid w:val="00830FFD"/>
    <w:rsid w:val="00831B3C"/>
    <w:rsid w:val="00832124"/>
    <w:rsid w:val="00832451"/>
    <w:rsid w:val="00832EF5"/>
    <w:rsid w:val="008336A9"/>
    <w:rsid w:val="0083455D"/>
    <w:rsid w:val="00834D7E"/>
    <w:rsid w:val="008350B1"/>
    <w:rsid w:val="008409FE"/>
    <w:rsid w:val="00841324"/>
    <w:rsid w:val="00843380"/>
    <w:rsid w:val="008434AB"/>
    <w:rsid w:val="008442ED"/>
    <w:rsid w:val="008447FB"/>
    <w:rsid w:val="00846396"/>
    <w:rsid w:val="00846E99"/>
    <w:rsid w:val="008477FF"/>
    <w:rsid w:val="008478D5"/>
    <w:rsid w:val="00847D5A"/>
    <w:rsid w:val="00847D93"/>
    <w:rsid w:val="00850FB2"/>
    <w:rsid w:val="0085245B"/>
    <w:rsid w:val="008526DA"/>
    <w:rsid w:val="00854EED"/>
    <w:rsid w:val="00856A16"/>
    <w:rsid w:val="00856DEC"/>
    <w:rsid w:val="00860B59"/>
    <w:rsid w:val="0086367C"/>
    <w:rsid w:val="0086388C"/>
    <w:rsid w:val="00863F3E"/>
    <w:rsid w:val="00864A45"/>
    <w:rsid w:val="00864C8A"/>
    <w:rsid w:val="00866475"/>
    <w:rsid w:val="008664A4"/>
    <w:rsid w:val="00867AAE"/>
    <w:rsid w:val="00867EBF"/>
    <w:rsid w:val="00867FCB"/>
    <w:rsid w:val="008704DF"/>
    <w:rsid w:val="008718E1"/>
    <w:rsid w:val="00872276"/>
    <w:rsid w:val="00872279"/>
    <w:rsid w:val="00872A20"/>
    <w:rsid w:val="0087334D"/>
    <w:rsid w:val="00873B76"/>
    <w:rsid w:val="0087470E"/>
    <w:rsid w:val="00874D57"/>
    <w:rsid w:val="00875115"/>
    <w:rsid w:val="00876124"/>
    <w:rsid w:val="00876841"/>
    <w:rsid w:val="00876CB2"/>
    <w:rsid w:val="00877281"/>
    <w:rsid w:val="00877E32"/>
    <w:rsid w:val="00880843"/>
    <w:rsid w:val="008818DC"/>
    <w:rsid w:val="00881C28"/>
    <w:rsid w:val="00882348"/>
    <w:rsid w:val="00883394"/>
    <w:rsid w:val="00883952"/>
    <w:rsid w:val="00883E56"/>
    <w:rsid w:val="008840B9"/>
    <w:rsid w:val="0088464E"/>
    <w:rsid w:val="00884CF8"/>
    <w:rsid w:val="00885C79"/>
    <w:rsid w:val="0088658C"/>
    <w:rsid w:val="008865C5"/>
    <w:rsid w:val="00886795"/>
    <w:rsid w:val="00886A0C"/>
    <w:rsid w:val="008910BB"/>
    <w:rsid w:val="00892DCD"/>
    <w:rsid w:val="00894D59"/>
    <w:rsid w:val="008953BC"/>
    <w:rsid w:val="00896C4D"/>
    <w:rsid w:val="00897020"/>
    <w:rsid w:val="00897696"/>
    <w:rsid w:val="00897F00"/>
    <w:rsid w:val="008A0711"/>
    <w:rsid w:val="008A0D12"/>
    <w:rsid w:val="008A1385"/>
    <w:rsid w:val="008A1BC4"/>
    <w:rsid w:val="008A1F01"/>
    <w:rsid w:val="008A2752"/>
    <w:rsid w:val="008A2E2A"/>
    <w:rsid w:val="008A4792"/>
    <w:rsid w:val="008A65E0"/>
    <w:rsid w:val="008A7BAA"/>
    <w:rsid w:val="008B0602"/>
    <w:rsid w:val="008B1C01"/>
    <w:rsid w:val="008B212D"/>
    <w:rsid w:val="008B2901"/>
    <w:rsid w:val="008B4109"/>
    <w:rsid w:val="008B580A"/>
    <w:rsid w:val="008B5D7A"/>
    <w:rsid w:val="008B7756"/>
    <w:rsid w:val="008C15F6"/>
    <w:rsid w:val="008C1F3A"/>
    <w:rsid w:val="008C2A50"/>
    <w:rsid w:val="008C3480"/>
    <w:rsid w:val="008C3976"/>
    <w:rsid w:val="008C58BF"/>
    <w:rsid w:val="008C64BB"/>
    <w:rsid w:val="008C72EE"/>
    <w:rsid w:val="008D1F47"/>
    <w:rsid w:val="008D22F5"/>
    <w:rsid w:val="008D3FA6"/>
    <w:rsid w:val="008D42F5"/>
    <w:rsid w:val="008D4727"/>
    <w:rsid w:val="008D529F"/>
    <w:rsid w:val="008D5658"/>
    <w:rsid w:val="008D57F2"/>
    <w:rsid w:val="008D5EA9"/>
    <w:rsid w:val="008D6D20"/>
    <w:rsid w:val="008D739B"/>
    <w:rsid w:val="008D77B8"/>
    <w:rsid w:val="008D7E18"/>
    <w:rsid w:val="008E0168"/>
    <w:rsid w:val="008E2993"/>
    <w:rsid w:val="008E2D0D"/>
    <w:rsid w:val="008E3196"/>
    <w:rsid w:val="008E5BA8"/>
    <w:rsid w:val="008E620F"/>
    <w:rsid w:val="008E699F"/>
    <w:rsid w:val="008E6B1B"/>
    <w:rsid w:val="008E7F11"/>
    <w:rsid w:val="008F0726"/>
    <w:rsid w:val="008F08E7"/>
    <w:rsid w:val="008F0F07"/>
    <w:rsid w:val="008F1FC2"/>
    <w:rsid w:val="008F3862"/>
    <w:rsid w:val="008F41AD"/>
    <w:rsid w:val="008F5008"/>
    <w:rsid w:val="008F5E0F"/>
    <w:rsid w:val="008F7098"/>
    <w:rsid w:val="00900FA0"/>
    <w:rsid w:val="00902221"/>
    <w:rsid w:val="009022D5"/>
    <w:rsid w:val="0090237E"/>
    <w:rsid w:val="009035B5"/>
    <w:rsid w:val="00903F22"/>
    <w:rsid w:val="00904E4D"/>
    <w:rsid w:val="00905A15"/>
    <w:rsid w:val="00906185"/>
    <w:rsid w:val="00906CDD"/>
    <w:rsid w:val="0090791E"/>
    <w:rsid w:val="00907D06"/>
    <w:rsid w:val="0091027F"/>
    <w:rsid w:val="009135F8"/>
    <w:rsid w:val="0091417E"/>
    <w:rsid w:val="0091426B"/>
    <w:rsid w:val="00914E67"/>
    <w:rsid w:val="00915BEE"/>
    <w:rsid w:val="00916917"/>
    <w:rsid w:val="00920A7A"/>
    <w:rsid w:val="00920ABC"/>
    <w:rsid w:val="0092170D"/>
    <w:rsid w:val="00921931"/>
    <w:rsid w:val="00921933"/>
    <w:rsid w:val="0092294B"/>
    <w:rsid w:val="009233B7"/>
    <w:rsid w:val="009235CA"/>
    <w:rsid w:val="0092391F"/>
    <w:rsid w:val="00924A03"/>
    <w:rsid w:val="00924A20"/>
    <w:rsid w:val="0092501F"/>
    <w:rsid w:val="00927F4F"/>
    <w:rsid w:val="00930D36"/>
    <w:rsid w:val="00930E5E"/>
    <w:rsid w:val="00932680"/>
    <w:rsid w:val="009329C5"/>
    <w:rsid w:val="00933AF5"/>
    <w:rsid w:val="00934DDB"/>
    <w:rsid w:val="00936B91"/>
    <w:rsid w:val="00936F20"/>
    <w:rsid w:val="00937926"/>
    <w:rsid w:val="0094587C"/>
    <w:rsid w:val="00946D96"/>
    <w:rsid w:val="00947277"/>
    <w:rsid w:val="00951A34"/>
    <w:rsid w:val="009531F1"/>
    <w:rsid w:val="009539FE"/>
    <w:rsid w:val="0095480D"/>
    <w:rsid w:val="009553AB"/>
    <w:rsid w:val="00955822"/>
    <w:rsid w:val="009601CF"/>
    <w:rsid w:val="00960F3A"/>
    <w:rsid w:val="00960F66"/>
    <w:rsid w:val="00963B47"/>
    <w:rsid w:val="00964873"/>
    <w:rsid w:val="00964D02"/>
    <w:rsid w:val="00966357"/>
    <w:rsid w:val="00967953"/>
    <w:rsid w:val="0097053F"/>
    <w:rsid w:val="00971B62"/>
    <w:rsid w:val="009722B7"/>
    <w:rsid w:val="009722D2"/>
    <w:rsid w:val="00973F9C"/>
    <w:rsid w:val="00976CBC"/>
    <w:rsid w:val="00976DC6"/>
    <w:rsid w:val="00981699"/>
    <w:rsid w:val="00981988"/>
    <w:rsid w:val="00981C83"/>
    <w:rsid w:val="009826BA"/>
    <w:rsid w:val="00982A9F"/>
    <w:rsid w:val="009838DB"/>
    <w:rsid w:val="009845D1"/>
    <w:rsid w:val="00986A73"/>
    <w:rsid w:val="00986EBF"/>
    <w:rsid w:val="0099069F"/>
    <w:rsid w:val="009919AC"/>
    <w:rsid w:val="00991B1D"/>
    <w:rsid w:val="00991B42"/>
    <w:rsid w:val="00991F41"/>
    <w:rsid w:val="0099217B"/>
    <w:rsid w:val="009924E4"/>
    <w:rsid w:val="009941A3"/>
    <w:rsid w:val="009951A1"/>
    <w:rsid w:val="00995D32"/>
    <w:rsid w:val="00996356"/>
    <w:rsid w:val="009963E6"/>
    <w:rsid w:val="009975C3"/>
    <w:rsid w:val="00997C18"/>
    <w:rsid w:val="009A0008"/>
    <w:rsid w:val="009A0D7D"/>
    <w:rsid w:val="009A0E40"/>
    <w:rsid w:val="009A1E89"/>
    <w:rsid w:val="009A280B"/>
    <w:rsid w:val="009A2B62"/>
    <w:rsid w:val="009A33A3"/>
    <w:rsid w:val="009A36E7"/>
    <w:rsid w:val="009A3DDC"/>
    <w:rsid w:val="009A4318"/>
    <w:rsid w:val="009A4588"/>
    <w:rsid w:val="009A57C1"/>
    <w:rsid w:val="009A62B9"/>
    <w:rsid w:val="009A7F7E"/>
    <w:rsid w:val="009B0803"/>
    <w:rsid w:val="009B1FE6"/>
    <w:rsid w:val="009B2115"/>
    <w:rsid w:val="009B32F3"/>
    <w:rsid w:val="009B334B"/>
    <w:rsid w:val="009B46DE"/>
    <w:rsid w:val="009B5828"/>
    <w:rsid w:val="009B5B19"/>
    <w:rsid w:val="009B6AA9"/>
    <w:rsid w:val="009C0BF0"/>
    <w:rsid w:val="009C1317"/>
    <w:rsid w:val="009C2BDA"/>
    <w:rsid w:val="009C39E2"/>
    <w:rsid w:val="009C3DB4"/>
    <w:rsid w:val="009C58CE"/>
    <w:rsid w:val="009C5970"/>
    <w:rsid w:val="009D0010"/>
    <w:rsid w:val="009D15B6"/>
    <w:rsid w:val="009D16D4"/>
    <w:rsid w:val="009D20C0"/>
    <w:rsid w:val="009D2453"/>
    <w:rsid w:val="009D2FFA"/>
    <w:rsid w:val="009D32F4"/>
    <w:rsid w:val="009D360F"/>
    <w:rsid w:val="009D37C3"/>
    <w:rsid w:val="009D3A5F"/>
    <w:rsid w:val="009D3F23"/>
    <w:rsid w:val="009D5150"/>
    <w:rsid w:val="009D532F"/>
    <w:rsid w:val="009D6995"/>
    <w:rsid w:val="009D6DC4"/>
    <w:rsid w:val="009D7B18"/>
    <w:rsid w:val="009E032B"/>
    <w:rsid w:val="009E03C2"/>
    <w:rsid w:val="009E0688"/>
    <w:rsid w:val="009E1C92"/>
    <w:rsid w:val="009E21F2"/>
    <w:rsid w:val="009E255B"/>
    <w:rsid w:val="009E41C9"/>
    <w:rsid w:val="009E5366"/>
    <w:rsid w:val="009E637F"/>
    <w:rsid w:val="009E6D59"/>
    <w:rsid w:val="009E6E54"/>
    <w:rsid w:val="009F0950"/>
    <w:rsid w:val="009F0C03"/>
    <w:rsid w:val="009F168A"/>
    <w:rsid w:val="009F1B9F"/>
    <w:rsid w:val="009F2800"/>
    <w:rsid w:val="009F3FFC"/>
    <w:rsid w:val="009F417F"/>
    <w:rsid w:val="009F5415"/>
    <w:rsid w:val="009F657E"/>
    <w:rsid w:val="009F719C"/>
    <w:rsid w:val="00A017DB"/>
    <w:rsid w:val="00A01B9F"/>
    <w:rsid w:val="00A01E22"/>
    <w:rsid w:val="00A02888"/>
    <w:rsid w:val="00A02F78"/>
    <w:rsid w:val="00A038CF"/>
    <w:rsid w:val="00A0485F"/>
    <w:rsid w:val="00A069CE"/>
    <w:rsid w:val="00A06BC9"/>
    <w:rsid w:val="00A06F26"/>
    <w:rsid w:val="00A07D80"/>
    <w:rsid w:val="00A14A43"/>
    <w:rsid w:val="00A15170"/>
    <w:rsid w:val="00A17C5F"/>
    <w:rsid w:val="00A2055A"/>
    <w:rsid w:val="00A2134A"/>
    <w:rsid w:val="00A21C32"/>
    <w:rsid w:val="00A21D23"/>
    <w:rsid w:val="00A21D9D"/>
    <w:rsid w:val="00A23213"/>
    <w:rsid w:val="00A233E2"/>
    <w:rsid w:val="00A242BF"/>
    <w:rsid w:val="00A25F3B"/>
    <w:rsid w:val="00A26141"/>
    <w:rsid w:val="00A264C7"/>
    <w:rsid w:val="00A27738"/>
    <w:rsid w:val="00A27C08"/>
    <w:rsid w:val="00A303FB"/>
    <w:rsid w:val="00A318AC"/>
    <w:rsid w:val="00A323C2"/>
    <w:rsid w:val="00A32647"/>
    <w:rsid w:val="00A33B47"/>
    <w:rsid w:val="00A34528"/>
    <w:rsid w:val="00A34C57"/>
    <w:rsid w:val="00A34EB7"/>
    <w:rsid w:val="00A3571B"/>
    <w:rsid w:val="00A35B31"/>
    <w:rsid w:val="00A360A6"/>
    <w:rsid w:val="00A37E2E"/>
    <w:rsid w:val="00A40CF8"/>
    <w:rsid w:val="00A41724"/>
    <w:rsid w:val="00A42913"/>
    <w:rsid w:val="00A4381F"/>
    <w:rsid w:val="00A43A15"/>
    <w:rsid w:val="00A445E1"/>
    <w:rsid w:val="00A44882"/>
    <w:rsid w:val="00A45CFF"/>
    <w:rsid w:val="00A45F47"/>
    <w:rsid w:val="00A46C3D"/>
    <w:rsid w:val="00A502FE"/>
    <w:rsid w:val="00A513A8"/>
    <w:rsid w:val="00A56923"/>
    <w:rsid w:val="00A57642"/>
    <w:rsid w:val="00A60FF8"/>
    <w:rsid w:val="00A61B59"/>
    <w:rsid w:val="00A6205A"/>
    <w:rsid w:val="00A643C1"/>
    <w:rsid w:val="00A70C85"/>
    <w:rsid w:val="00A717CD"/>
    <w:rsid w:val="00A71E10"/>
    <w:rsid w:val="00A7250B"/>
    <w:rsid w:val="00A7255A"/>
    <w:rsid w:val="00A737A4"/>
    <w:rsid w:val="00A73ED3"/>
    <w:rsid w:val="00A74326"/>
    <w:rsid w:val="00A75B7C"/>
    <w:rsid w:val="00A76731"/>
    <w:rsid w:val="00A7682E"/>
    <w:rsid w:val="00A771B9"/>
    <w:rsid w:val="00A77A0C"/>
    <w:rsid w:val="00A8186C"/>
    <w:rsid w:val="00A82D35"/>
    <w:rsid w:val="00A83888"/>
    <w:rsid w:val="00A83A56"/>
    <w:rsid w:val="00A84062"/>
    <w:rsid w:val="00A85C97"/>
    <w:rsid w:val="00A86D2D"/>
    <w:rsid w:val="00A877A1"/>
    <w:rsid w:val="00A87D77"/>
    <w:rsid w:val="00A87E69"/>
    <w:rsid w:val="00A910A1"/>
    <w:rsid w:val="00A91DF6"/>
    <w:rsid w:val="00A925AD"/>
    <w:rsid w:val="00A934AE"/>
    <w:rsid w:val="00A9404C"/>
    <w:rsid w:val="00A95AD1"/>
    <w:rsid w:val="00A95F44"/>
    <w:rsid w:val="00A975B9"/>
    <w:rsid w:val="00AA02C9"/>
    <w:rsid w:val="00AA137B"/>
    <w:rsid w:val="00AA4562"/>
    <w:rsid w:val="00AA4AA5"/>
    <w:rsid w:val="00AA4F6D"/>
    <w:rsid w:val="00AA6587"/>
    <w:rsid w:val="00AA6D96"/>
    <w:rsid w:val="00AA7336"/>
    <w:rsid w:val="00AA7B07"/>
    <w:rsid w:val="00AB0C51"/>
    <w:rsid w:val="00AB10E9"/>
    <w:rsid w:val="00AB14E9"/>
    <w:rsid w:val="00AB1782"/>
    <w:rsid w:val="00AB370C"/>
    <w:rsid w:val="00AB3EC2"/>
    <w:rsid w:val="00AB4A5E"/>
    <w:rsid w:val="00AB54F4"/>
    <w:rsid w:val="00AB5F08"/>
    <w:rsid w:val="00AB6295"/>
    <w:rsid w:val="00AB634C"/>
    <w:rsid w:val="00AB72AF"/>
    <w:rsid w:val="00AB743A"/>
    <w:rsid w:val="00AC0847"/>
    <w:rsid w:val="00AC166F"/>
    <w:rsid w:val="00AC18AC"/>
    <w:rsid w:val="00AC1B8D"/>
    <w:rsid w:val="00AC2838"/>
    <w:rsid w:val="00AC3D76"/>
    <w:rsid w:val="00AC4006"/>
    <w:rsid w:val="00AC5733"/>
    <w:rsid w:val="00AC586C"/>
    <w:rsid w:val="00AC5BA0"/>
    <w:rsid w:val="00AC5ECC"/>
    <w:rsid w:val="00AC7B2A"/>
    <w:rsid w:val="00AD0472"/>
    <w:rsid w:val="00AD117F"/>
    <w:rsid w:val="00AD271B"/>
    <w:rsid w:val="00AD2AFE"/>
    <w:rsid w:val="00AD2D7B"/>
    <w:rsid w:val="00AD358F"/>
    <w:rsid w:val="00AD4018"/>
    <w:rsid w:val="00AD5597"/>
    <w:rsid w:val="00AD5937"/>
    <w:rsid w:val="00AD5969"/>
    <w:rsid w:val="00AD59DF"/>
    <w:rsid w:val="00AD62EF"/>
    <w:rsid w:val="00AD7137"/>
    <w:rsid w:val="00AE2384"/>
    <w:rsid w:val="00AE2B83"/>
    <w:rsid w:val="00AE3465"/>
    <w:rsid w:val="00AE4E8E"/>
    <w:rsid w:val="00AE6F33"/>
    <w:rsid w:val="00AE77E5"/>
    <w:rsid w:val="00AE79CD"/>
    <w:rsid w:val="00AE7BB8"/>
    <w:rsid w:val="00AF00FB"/>
    <w:rsid w:val="00AF1993"/>
    <w:rsid w:val="00AF1D50"/>
    <w:rsid w:val="00AF290F"/>
    <w:rsid w:val="00AF3139"/>
    <w:rsid w:val="00AF64EB"/>
    <w:rsid w:val="00AF6B24"/>
    <w:rsid w:val="00AF6FC2"/>
    <w:rsid w:val="00B006E7"/>
    <w:rsid w:val="00B008DD"/>
    <w:rsid w:val="00B01BD9"/>
    <w:rsid w:val="00B02586"/>
    <w:rsid w:val="00B02991"/>
    <w:rsid w:val="00B03797"/>
    <w:rsid w:val="00B03F4A"/>
    <w:rsid w:val="00B04A9E"/>
    <w:rsid w:val="00B06250"/>
    <w:rsid w:val="00B068FF"/>
    <w:rsid w:val="00B102EF"/>
    <w:rsid w:val="00B12B10"/>
    <w:rsid w:val="00B12E82"/>
    <w:rsid w:val="00B13BB4"/>
    <w:rsid w:val="00B1416B"/>
    <w:rsid w:val="00B15E24"/>
    <w:rsid w:val="00B16525"/>
    <w:rsid w:val="00B16F18"/>
    <w:rsid w:val="00B17262"/>
    <w:rsid w:val="00B20F02"/>
    <w:rsid w:val="00B21113"/>
    <w:rsid w:val="00B21209"/>
    <w:rsid w:val="00B22220"/>
    <w:rsid w:val="00B22234"/>
    <w:rsid w:val="00B2312C"/>
    <w:rsid w:val="00B23C28"/>
    <w:rsid w:val="00B26125"/>
    <w:rsid w:val="00B2677B"/>
    <w:rsid w:val="00B27292"/>
    <w:rsid w:val="00B27371"/>
    <w:rsid w:val="00B27F14"/>
    <w:rsid w:val="00B302B2"/>
    <w:rsid w:val="00B304E3"/>
    <w:rsid w:val="00B30CAC"/>
    <w:rsid w:val="00B31B4C"/>
    <w:rsid w:val="00B32006"/>
    <w:rsid w:val="00B32090"/>
    <w:rsid w:val="00B34115"/>
    <w:rsid w:val="00B35267"/>
    <w:rsid w:val="00B35387"/>
    <w:rsid w:val="00B35889"/>
    <w:rsid w:val="00B35987"/>
    <w:rsid w:val="00B3605F"/>
    <w:rsid w:val="00B36CC0"/>
    <w:rsid w:val="00B3715E"/>
    <w:rsid w:val="00B37476"/>
    <w:rsid w:val="00B37BF6"/>
    <w:rsid w:val="00B37CC0"/>
    <w:rsid w:val="00B37FC3"/>
    <w:rsid w:val="00B40B6A"/>
    <w:rsid w:val="00B40C7A"/>
    <w:rsid w:val="00B40FD3"/>
    <w:rsid w:val="00B42751"/>
    <w:rsid w:val="00B42B38"/>
    <w:rsid w:val="00B42CBA"/>
    <w:rsid w:val="00B43D84"/>
    <w:rsid w:val="00B44EE2"/>
    <w:rsid w:val="00B45018"/>
    <w:rsid w:val="00B450DE"/>
    <w:rsid w:val="00B4593F"/>
    <w:rsid w:val="00B4707E"/>
    <w:rsid w:val="00B470EE"/>
    <w:rsid w:val="00B5023A"/>
    <w:rsid w:val="00B5212E"/>
    <w:rsid w:val="00B52CE6"/>
    <w:rsid w:val="00B52F9F"/>
    <w:rsid w:val="00B53468"/>
    <w:rsid w:val="00B5494D"/>
    <w:rsid w:val="00B56FD7"/>
    <w:rsid w:val="00B574BD"/>
    <w:rsid w:val="00B5782F"/>
    <w:rsid w:val="00B60253"/>
    <w:rsid w:val="00B66A43"/>
    <w:rsid w:val="00B709B0"/>
    <w:rsid w:val="00B70B8C"/>
    <w:rsid w:val="00B72FB6"/>
    <w:rsid w:val="00B73FA2"/>
    <w:rsid w:val="00B7504D"/>
    <w:rsid w:val="00B75628"/>
    <w:rsid w:val="00B76FA0"/>
    <w:rsid w:val="00B802A4"/>
    <w:rsid w:val="00B809D7"/>
    <w:rsid w:val="00B80ADD"/>
    <w:rsid w:val="00B80FC9"/>
    <w:rsid w:val="00B8191D"/>
    <w:rsid w:val="00B81A1C"/>
    <w:rsid w:val="00B826D3"/>
    <w:rsid w:val="00B82D01"/>
    <w:rsid w:val="00B83347"/>
    <w:rsid w:val="00B834AE"/>
    <w:rsid w:val="00B83741"/>
    <w:rsid w:val="00B84CE1"/>
    <w:rsid w:val="00B856AB"/>
    <w:rsid w:val="00B85D0A"/>
    <w:rsid w:val="00B861B6"/>
    <w:rsid w:val="00B87306"/>
    <w:rsid w:val="00B9071D"/>
    <w:rsid w:val="00B909C6"/>
    <w:rsid w:val="00B921CF"/>
    <w:rsid w:val="00B92E5C"/>
    <w:rsid w:val="00B93A8F"/>
    <w:rsid w:val="00B94195"/>
    <w:rsid w:val="00B942DB"/>
    <w:rsid w:val="00B94F26"/>
    <w:rsid w:val="00B95AF2"/>
    <w:rsid w:val="00B9643D"/>
    <w:rsid w:val="00B96CD5"/>
    <w:rsid w:val="00BA14B0"/>
    <w:rsid w:val="00BA2094"/>
    <w:rsid w:val="00BA2544"/>
    <w:rsid w:val="00BA2FA4"/>
    <w:rsid w:val="00BA398A"/>
    <w:rsid w:val="00BA3A22"/>
    <w:rsid w:val="00BA3DC2"/>
    <w:rsid w:val="00BA485A"/>
    <w:rsid w:val="00BA57D1"/>
    <w:rsid w:val="00BA5B10"/>
    <w:rsid w:val="00BA6DD4"/>
    <w:rsid w:val="00BA7B31"/>
    <w:rsid w:val="00BB1B12"/>
    <w:rsid w:val="00BB21EA"/>
    <w:rsid w:val="00BB3215"/>
    <w:rsid w:val="00BB3283"/>
    <w:rsid w:val="00BB3A99"/>
    <w:rsid w:val="00BB7C5E"/>
    <w:rsid w:val="00BC0175"/>
    <w:rsid w:val="00BC04B1"/>
    <w:rsid w:val="00BC0ABC"/>
    <w:rsid w:val="00BC104D"/>
    <w:rsid w:val="00BC15ED"/>
    <w:rsid w:val="00BC1E4B"/>
    <w:rsid w:val="00BC1E93"/>
    <w:rsid w:val="00BC253C"/>
    <w:rsid w:val="00BC2665"/>
    <w:rsid w:val="00BC3A1E"/>
    <w:rsid w:val="00BC55B0"/>
    <w:rsid w:val="00BC5D3C"/>
    <w:rsid w:val="00BC7AB0"/>
    <w:rsid w:val="00BC7C40"/>
    <w:rsid w:val="00BD0419"/>
    <w:rsid w:val="00BD2781"/>
    <w:rsid w:val="00BD4292"/>
    <w:rsid w:val="00BD4FF4"/>
    <w:rsid w:val="00BD67CC"/>
    <w:rsid w:val="00BD7059"/>
    <w:rsid w:val="00BD72DF"/>
    <w:rsid w:val="00BD7A8F"/>
    <w:rsid w:val="00BD7AA2"/>
    <w:rsid w:val="00BE005D"/>
    <w:rsid w:val="00BE0787"/>
    <w:rsid w:val="00BE34DF"/>
    <w:rsid w:val="00BE3A7E"/>
    <w:rsid w:val="00BE3F51"/>
    <w:rsid w:val="00BE465F"/>
    <w:rsid w:val="00BE46A7"/>
    <w:rsid w:val="00BE47E2"/>
    <w:rsid w:val="00BE49C2"/>
    <w:rsid w:val="00BF0DB9"/>
    <w:rsid w:val="00BF182A"/>
    <w:rsid w:val="00BF2DD5"/>
    <w:rsid w:val="00BF5CC2"/>
    <w:rsid w:val="00C013BE"/>
    <w:rsid w:val="00C01BD3"/>
    <w:rsid w:val="00C04C81"/>
    <w:rsid w:val="00C069BA"/>
    <w:rsid w:val="00C1077E"/>
    <w:rsid w:val="00C1128E"/>
    <w:rsid w:val="00C11BD5"/>
    <w:rsid w:val="00C11D4F"/>
    <w:rsid w:val="00C126F6"/>
    <w:rsid w:val="00C1453E"/>
    <w:rsid w:val="00C1608A"/>
    <w:rsid w:val="00C16423"/>
    <w:rsid w:val="00C16659"/>
    <w:rsid w:val="00C17175"/>
    <w:rsid w:val="00C1779F"/>
    <w:rsid w:val="00C17F1D"/>
    <w:rsid w:val="00C20604"/>
    <w:rsid w:val="00C207DD"/>
    <w:rsid w:val="00C21835"/>
    <w:rsid w:val="00C22312"/>
    <w:rsid w:val="00C22D0B"/>
    <w:rsid w:val="00C23879"/>
    <w:rsid w:val="00C23F1F"/>
    <w:rsid w:val="00C24A28"/>
    <w:rsid w:val="00C24C39"/>
    <w:rsid w:val="00C24EEA"/>
    <w:rsid w:val="00C3041D"/>
    <w:rsid w:val="00C304FB"/>
    <w:rsid w:val="00C3336E"/>
    <w:rsid w:val="00C3595E"/>
    <w:rsid w:val="00C360BF"/>
    <w:rsid w:val="00C36DEF"/>
    <w:rsid w:val="00C40877"/>
    <w:rsid w:val="00C4128E"/>
    <w:rsid w:val="00C412D6"/>
    <w:rsid w:val="00C422D0"/>
    <w:rsid w:val="00C425B5"/>
    <w:rsid w:val="00C4368D"/>
    <w:rsid w:val="00C4489C"/>
    <w:rsid w:val="00C44D14"/>
    <w:rsid w:val="00C45A86"/>
    <w:rsid w:val="00C46858"/>
    <w:rsid w:val="00C46A41"/>
    <w:rsid w:val="00C46EB3"/>
    <w:rsid w:val="00C5014C"/>
    <w:rsid w:val="00C5035A"/>
    <w:rsid w:val="00C504B9"/>
    <w:rsid w:val="00C50729"/>
    <w:rsid w:val="00C52A7C"/>
    <w:rsid w:val="00C52EC6"/>
    <w:rsid w:val="00C52ED9"/>
    <w:rsid w:val="00C550D0"/>
    <w:rsid w:val="00C554E4"/>
    <w:rsid w:val="00C55AE6"/>
    <w:rsid w:val="00C5777C"/>
    <w:rsid w:val="00C57971"/>
    <w:rsid w:val="00C60144"/>
    <w:rsid w:val="00C605B2"/>
    <w:rsid w:val="00C60BF8"/>
    <w:rsid w:val="00C60D71"/>
    <w:rsid w:val="00C60DDF"/>
    <w:rsid w:val="00C64BEF"/>
    <w:rsid w:val="00C650A0"/>
    <w:rsid w:val="00C65287"/>
    <w:rsid w:val="00C678B0"/>
    <w:rsid w:val="00C720F3"/>
    <w:rsid w:val="00C72CCA"/>
    <w:rsid w:val="00C7338E"/>
    <w:rsid w:val="00C7439F"/>
    <w:rsid w:val="00C74A20"/>
    <w:rsid w:val="00C7504A"/>
    <w:rsid w:val="00C752AB"/>
    <w:rsid w:val="00C762F8"/>
    <w:rsid w:val="00C8056B"/>
    <w:rsid w:val="00C81282"/>
    <w:rsid w:val="00C81811"/>
    <w:rsid w:val="00C82209"/>
    <w:rsid w:val="00C82809"/>
    <w:rsid w:val="00C8329B"/>
    <w:rsid w:val="00C835C1"/>
    <w:rsid w:val="00C83A72"/>
    <w:rsid w:val="00C85482"/>
    <w:rsid w:val="00C85D38"/>
    <w:rsid w:val="00C86F2B"/>
    <w:rsid w:val="00C8726C"/>
    <w:rsid w:val="00C87AB5"/>
    <w:rsid w:val="00C87EDC"/>
    <w:rsid w:val="00C904C5"/>
    <w:rsid w:val="00C907E7"/>
    <w:rsid w:val="00C9180D"/>
    <w:rsid w:val="00C94264"/>
    <w:rsid w:val="00C944CE"/>
    <w:rsid w:val="00C94808"/>
    <w:rsid w:val="00C951B4"/>
    <w:rsid w:val="00C953F8"/>
    <w:rsid w:val="00C9757B"/>
    <w:rsid w:val="00CA0003"/>
    <w:rsid w:val="00CA2621"/>
    <w:rsid w:val="00CA2B7C"/>
    <w:rsid w:val="00CA3F18"/>
    <w:rsid w:val="00CA46D9"/>
    <w:rsid w:val="00CA7226"/>
    <w:rsid w:val="00CA7804"/>
    <w:rsid w:val="00CA7C7E"/>
    <w:rsid w:val="00CA7E96"/>
    <w:rsid w:val="00CB04EB"/>
    <w:rsid w:val="00CB0E87"/>
    <w:rsid w:val="00CB1348"/>
    <w:rsid w:val="00CB2371"/>
    <w:rsid w:val="00CB78E1"/>
    <w:rsid w:val="00CC015B"/>
    <w:rsid w:val="00CC08B5"/>
    <w:rsid w:val="00CC0C3A"/>
    <w:rsid w:val="00CC2887"/>
    <w:rsid w:val="00CC336D"/>
    <w:rsid w:val="00CC3DAF"/>
    <w:rsid w:val="00CC3E2E"/>
    <w:rsid w:val="00CC4625"/>
    <w:rsid w:val="00CC4632"/>
    <w:rsid w:val="00CC5FFD"/>
    <w:rsid w:val="00CC65A6"/>
    <w:rsid w:val="00CC69DD"/>
    <w:rsid w:val="00CC6EA9"/>
    <w:rsid w:val="00CC7327"/>
    <w:rsid w:val="00CC7AD8"/>
    <w:rsid w:val="00CD0072"/>
    <w:rsid w:val="00CD219C"/>
    <w:rsid w:val="00CD2390"/>
    <w:rsid w:val="00CD302A"/>
    <w:rsid w:val="00CD5A70"/>
    <w:rsid w:val="00CD5BB3"/>
    <w:rsid w:val="00CD5D5D"/>
    <w:rsid w:val="00CD61EB"/>
    <w:rsid w:val="00CD67B8"/>
    <w:rsid w:val="00CD7782"/>
    <w:rsid w:val="00CE0BF4"/>
    <w:rsid w:val="00CE1261"/>
    <w:rsid w:val="00CE13BB"/>
    <w:rsid w:val="00CE2391"/>
    <w:rsid w:val="00CE4D37"/>
    <w:rsid w:val="00CE659B"/>
    <w:rsid w:val="00CF0970"/>
    <w:rsid w:val="00CF0D20"/>
    <w:rsid w:val="00CF1245"/>
    <w:rsid w:val="00CF136A"/>
    <w:rsid w:val="00CF1B29"/>
    <w:rsid w:val="00CF1F41"/>
    <w:rsid w:val="00CF36E7"/>
    <w:rsid w:val="00CF3F9F"/>
    <w:rsid w:val="00CF45BE"/>
    <w:rsid w:val="00CF48C5"/>
    <w:rsid w:val="00D00E60"/>
    <w:rsid w:val="00D01BEE"/>
    <w:rsid w:val="00D02002"/>
    <w:rsid w:val="00D0269B"/>
    <w:rsid w:val="00D029B3"/>
    <w:rsid w:val="00D045B9"/>
    <w:rsid w:val="00D04949"/>
    <w:rsid w:val="00D100F4"/>
    <w:rsid w:val="00D101AF"/>
    <w:rsid w:val="00D109C1"/>
    <w:rsid w:val="00D11921"/>
    <w:rsid w:val="00D124C3"/>
    <w:rsid w:val="00D13383"/>
    <w:rsid w:val="00D147FE"/>
    <w:rsid w:val="00D1524F"/>
    <w:rsid w:val="00D16C32"/>
    <w:rsid w:val="00D17CA2"/>
    <w:rsid w:val="00D208AA"/>
    <w:rsid w:val="00D20E60"/>
    <w:rsid w:val="00D214D1"/>
    <w:rsid w:val="00D2252E"/>
    <w:rsid w:val="00D22A09"/>
    <w:rsid w:val="00D22E2C"/>
    <w:rsid w:val="00D22F9C"/>
    <w:rsid w:val="00D23153"/>
    <w:rsid w:val="00D239EA"/>
    <w:rsid w:val="00D23F2C"/>
    <w:rsid w:val="00D23FB7"/>
    <w:rsid w:val="00D245DB"/>
    <w:rsid w:val="00D251DC"/>
    <w:rsid w:val="00D26AAF"/>
    <w:rsid w:val="00D33AD2"/>
    <w:rsid w:val="00D40CE3"/>
    <w:rsid w:val="00D41D2E"/>
    <w:rsid w:val="00D43AC8"/>
    <w:rsid w:val="00D43BEA"/>
    <w:rsid w:val="00D45DE8"/>
    <w:rsid w:val="00D4610D"/>
    <w:rsid w:val="00D4693F"/>
    <w:rsid w:val="00D46BE0"/>
    <w:rsid w:val="00D46E81"/>
    <w:rsid w:val="00D4746E"/>
    <w:rsid w:val="00D50E18"/>
    <w:rsid w:val="00D51BBF"/>
    <w:rsid w:val="00D51DF8"/>
    <w:rsid w:val="00D526E2"/>
    <w:rsid w:val="00D52912"/>
    <w:rsid w:val="00D52985"/>
    <w:rsid w:val="00D52B36"/>
    <w:rsid w:val="00D53403"/>
    <w:rsid w:val="00D53B18"/>
    <w:rsid w:val="00D556A2"/>
    <w:rsid w:val="00D55DDF"/>
    <w:rsid w:val="00D56203"/>
    <w:rsid w:val="00D5637C"/>
    <w:rsid w:val="00D57284"/>
    <w:rsid w:val="00D5784C"/>
    <w:rsid w:val="00D601AA"/>
    <w:rsid w:val="00D602A6"/>
    <w:rsid w:val="00D607EC"/>
    <w:rsid w:val="00D62611"/>
    <w:rsid w:val="00D62A32"/>
    <w:rsid w:val="00D62A3A"/>
    <w:rsid w:val="00D63588"/>
    <w:rsid w:val="00D63CB8"/>
    <w:rsid w:val="00D65D2A"/>
    <w:rsid w:val="00D66410"/>
    <w:rsid w:val="00D67164"/>
    <w:rsid w:val="00D71539"/>
    <w:rsid w:val="00D71F46"/>
    <w:rsid w:val="00D72659"/>
    <w:rsid w:val="00D8106E"/>
    <w:rsid w:val="00D810DA"/>
    <w:rsid w:val="00D815F2"/>
    <w:rsid w:val="00D81C74"/>
    <w:rsid w:val="00D81E08"/>
    <w:rsid w:val="00D83191"/>
    <w:rsid w:val="00D837A1"/>
    <w:rsid w:val="00D85AE9"/>
    <w:rsid w:val="00D862E5"/>
    <w:rsid w:val="00D86359"/>
    <w:rsid w:val="00D8648A"/>
    <w:rsid w:val="00D865D4"/>
    <w:rsid w:val="00D871D2"/>
    <w:rsid w:val="00D902C7"/>
    <w:rsid w:val="00D91236"/>
    <w:rsid w:val="00D920EB"/>
    <w:rsid w:val="00D92D7F"/>
    <w:rsid w:val="00D92E00"/>
    <w:rsid w:val="00D93D95"/>
    <w:rsid w:val="00D974C8"/>
    <w:rsid w:val="00DA21C4"/>
    <w:rsid w:val="00DA232D"/>
    <w:rsid w:val="00DA346A"/>
    <w:rsid w:val="00DA4CDA"/>
    <w:rsid w:val="00DA5442"/>
    <w:rsid w:val="00DA6009"/>
    <w:rsid w:val="00DA643D"/>
    <w:rsid w:val="00DA7038"/>
    <w:rsid w:val="00DA7D4A"/>
    <w:rsid w:val="00DB09D6"/>
    <w:rsid w:val="00DB0D19"/>
    <w:rsid w:val="00DB1966"/>
    <w:rsid w:val="00DB1C06"/>
    <w:rsid w:val="00DB294E"/>
    <w:rsid w:val="00DB3611"/>
    <w:rsid w:val="00DB4D07"/>
    <w:rsid w:val="00DB6E64"/>
    <w:rsid w:val="00DC3028"/>
    <w:rsid w:val="00DC3407"/>
    <w:rsid w:val="00DC399E"/>
    <w:rsid w:val="00DC3E7F"/>
    <w:rsid w:val="00DC45BB"/>
    <w:rsid w:val="00DC5569"/>
    <w:rsid w:val="00DC6364"/>
    <w:rsid w:val="00DC68F1"/>
    <w:rsid w:val="00DC6E63"/>
    <w:rsid w:val="00DC7D84"/>
    <w:rsid w:val="00DD092D"/>
    <w:rsid w:val="00DD1D9C"/>
    <w:rsid w:val="00DD29B5"/>
    <w:rsid w:val="00DD2B3E"/>
    <w:rsid w:val="00DD30AF"/>
    <w:rsid w:val="00DD37F3"/>
    <w:rsid w:val="00DD3BF1"/>
    <w:rsid w:val="00DD3F00"/>
    <w:rsid w:val="00DD43E8"/>
    <w:rsid w:val="00DD4726"/>
    <w:rsid w:val="00DD4CDA"/>
    <w:rsid w:val="00DD4D28"/>
    <w:rsid w:val="00DD5E80"/>
    <w:rsid w:val="00DD5F0C"/>
    <w:rsid w:val="00DD60B4"/>
    <w:rsid w:val="00DD63A2"/>
    <w:rsid w:val="00DD63D1"/>
    <w:rsid w:val="00DD681C"/>
    <w:rsid w:val="00DD7639"/>
    <w:rsid w:val="00DE0B95"/>
    <w:rsid w:val="00DE0C44"/>
    <w:rsid w:val="00DE0D27"/>
    <w:rsid w:val="00DE16AA"/>
    <w:rsid w:val="00DE1C03"/>
    <w:rsid w:val="00DE484F"/>
    <w:rsid w:val="00DE4FBB"/>
    <w:rsid w:val="00DE5EDB"/>
    <w:rsid w:val="00DE6D5C"/>
    <w:rsid w:val="00DE7655"/>
    <w:rsid w:val="00DE7DB8"/>
    <w:rsid w:val="00DF0A04"/>
    <w:rsid w:val="00DF1BA3"/>
    <w:rsid w:val="00DF2857"/>
    <w:rsid w:val="00DF31C3"/>
    <w:rsid w:val="00DF41BE"/>
    <w:rsid w:val="00DF6E53"/>
    <w:rsid w:val="00E00B82"/>
    <w:rsid w:val="00E01D55"/>
    <w:rsid w:val="00E01D96"/>
    <w:rsid w:val="00E0220A"/>
    <w:rsid w:val="00E02BB0"/>
    <w:rsid w:val="00E0309E"/>
    <w:rsid w:val="00E036FC"/>
    <w:rsid w:val="00E04E49"/>
    <w:rsid w:val="00E05969"/>
    <w:rsid w:val="00E05D3D"/>
    <w:rsid w:val="00E06380"/>
    <w:rsid w:val="00E07193"/>
    <w:rsid w:val="00E071E3"/>
    <w:rsid w:val="00E073B9"/>
    <w:rsid w:val="00E07D21"/>
    <w:rsid w:val="00E108FA"/>
    <w:rsid w:val="00E10DC8"/>
    <w:rsid w:val="00E134D1"/>
    <w:rsid w:val="00E145FA"/>
    <w:rsid w:val="00E14C71"/>
    <w:rsid w:val="00E158A1"/>
    <w:rsid w:val="00E16347"/>
    <w:rsid w:val="00E167FB"/>
    <w:rsid w:val="00E17C60"/>
    <w:rsid w:val="00E17F66"/>
    <w:rsid w:val="00E2154E"/>
    <w:rsid w:val="00E22398"/>
    <w:rsid w:val="00E2262E"/>
    <w:rsid w:val="00E22CAE"/>
    <w:rsid w:val="00E234F2"/>
    <w:rsid w:val="00E26675"/>
    <w:rsid w:val="00E269C1"/>
    <w:rsid w:val="00E307DF"/>
    <w:rsid w:val="00E309A0"/>
    <w:rsid w:val="00E31281"/>
    <w:rsid w:val="00E31A6F"/>
    <w:rsid w:val="00E3231C"/>
    <w:rsid w:val="00E3263F"/>
    <w:rsid w:val="00E32821"/>
    <w:rsid w:val="00E32A6A"/>
    <w:rsid w:val="00E33483"/>
    <w:rsid w:val="00E34051"/>
    <w:rsid w:val="00E345D0"/>
    <w:rsid w:val="00E347EF"/>
    <w:rsid w:val="00E35528"/>
    <w:rsid w:val="00E37439"/>
    <w:rsid w:val="00E37D3A"/>
    <w:rsid w:val="00E400D1"/>
    <w:rsid w:val="00E40142"/>
    <w:rsid w:val="00E414F5"/>
    <w:rsid w:val="00E4185A"/>
    <w:rsid w:val="00E421A8"/>
    <w:rsid w:val="00E435C6"/>
    <w:rsid w:val="00E43FCC"/>
    <w:rsid w:val="00E455D5"/>
    <w:rsid w:val="00E458DE"/>
    <w:rsid w:val="00E46333"/>
    <w:rsid w:val="00E46850"/>
    <w:rsid w:val="00E47993"/>
    <w:rsid w:val="00E50621"/>
    <w:rsid w:val="00E522A5"/>
    <w:rsid w:val="00E52B18"/>
    <w:rsid w:val="00E52B95"/>
    <w:rsid w:val="00E52CE1"/>
    <w:rsid w:val="00E538A7"/>
    <w:rsid w:val="00E56203"/>
    <w:rsid w:val="00E56295"/>
    <w:rsid w:val="00E563A9"/>
    <w:rsid w:val="00E56672"/>
    <w:rsid w:val="00E568B8"/>
    <w:rsid w:val="00E60769"/>
    <w:rsid w:val="00E61CFC"/>
    <w:rsid w:val="00E65BB8"/>
    <w:rsid w:val="00E65CAF"/>
    <w:rsid w:val="00E66216"/>
    <w:rsid w:val="00E66AD4"/>
    <w:rsid w:val="00E71CF2"/>
    <w:rsid w:val="00E7251E"/>
    <w:rsid w:val="00E7439F"/>
    <w:rsid w:val="00E7633C"/>
    <w:rsid w:val="00E768A7"/>
    <w:rsid w:val="00E768F2"/>
    <w:rsid w:val="00E77485"/>
    <w:rsid w:val="00E77ED2"/>
    <w:rsid w:val="00E81A12"/>
    <w:rsid w:val="00E835E4"/>
    <w:rsid w:val="00E84906"/>
    <w:rsid w:val="00E85AFE"/>
    <w:rsid w:val="00E86190"/>
    <w:rsid w:val="00E86F12"/>
    <w:rsid w:val="00E8777B"/>
    <w:rsid w:val="00E9125D"/>
    <w:rsid w:val="00E923B7"/>
    <w:rsid w:val="00E9246B"/>
    <w:rsid w:val="00E92A12"/>
    <w:rsid w:val="00E92AE9"/>
    <w:rsid w:val="00E93250"/>
    <w:rsid w:val="00E93B5D"/>
    <w:rsid w:val="00E948C1"/>
    <w:rsid w:val="00E94B19"/>
    <w:rsid w:val="00E9727F"/>
    <w:rsid w:val="00EA0B56"/>
    <w:rsid w:val="00EA2339"/>
    <w:rsid w:val="00EA2537"/>
    <w:rsid w:val="00EA56C6"/>
    <w:rsid w:val="00EA5F07"/>
    <w:rsid w:val="00EA6934"/>
    <w:rsid w:val="00EB0024"/>
    <w:rsid w:val="00EB21CE"/>
    <w:rsid w:val="00EB2449"/>
    <w:rsid w:val="00EB272D"/>
    <w:rsid w:val="00EB35D7"/>
    <w:rsid w:val="00EB381E"/>
    <w:rsid w:val="00EB4FCD"/>
    <w:rsid w:val="00EB5CC1"/>
    <w:rsid w:val="00EB6110"/>
    <w:rsid w:val="00EB64B2"/>
    <w:rsid w:val="00EB7F9F"/>
    <w:rsid w:val="00EC0614"/>
    <w:rsid w:val="00EC0FA2"/>
    <w:rsid w:val="00EC31FD"/>
    <w:rsid w:val="00EC499D"/>
    <w:rsid w:val="00EC4F14"/>
    <w:rsid w:val="00EC5113"/>
    <w:rsid w:val="00EC5765"/>
    <w:rsid w:val="00EC5F24"/>
    <w:rsid w:val="00EC6965"/>
    <w:rsid w:val="00EC7842"/>
    <w:rsid w:val="00ED1278"/>
    <w:rsid w:val="00ED1884"/>
    <w:rsid w:val="00ED19CC"/>
    <w:rsid w:val="00ED28E7"/>
    <w:rsid w:val="00ED3AB5"/>
    <w:rsid w:val="00ED4568"/>
    <w:rsid w:val="00ED6611"/>
    <w:rsid w:val="00ED6749"/>
    <w:rsid w:val="00ED7686"/>
    <w:rsid w:val="00EE01D0"/>
    <w:rsid w:val="00EE145B"/>
    <w:rsid w:val="00EE24D8"/>
    <w:rsid w:val="00EE34CA"/>
    <w:rsid w:val="00EE53F8"/>
    <w:rsid w:val="00EE5626"/>
    <w:rsid w:val="00EE7027"/>
    <w:rsid w:val="00EE7173"/>
    <w:rsid w:val="00EE7483"/>
    <w:rsid w:val="00EE7DBB"/>
    <w:rsid w:val="00EF06A0"/>
    <w:rsid w:val="00EF090F"/>
    <w:rsid w:val="00EF0AEF"/>
    <w:rsid w:val="00EF0B5D"/>
    <w:rsid w:val="00EF1295"/>
    <w:rsid w:val="00EF19A4"/>
    <w:rsid w:val="00EF26E6"/>
    <w:rsid w:val="00EF2A5D"/>
    <w:rsid w:val="00EF3FF1"/>
    <w:rsid w:val="00EF5D15"/>
    <w:rsid w:val="00EF60E4"/>
    <w:rsid w:val="00EF721D"/>
    <w:rsid w:val="00F001AC"/>
    <w:rsid w:val="00F01282"/>
    <w:rsid w:val="00F0156E"/>
    <w:rsid w:val="00F0236C"/>
    <w:rsid w:val="00F03832"/>
    <w:rsid w:val="00F039A2"/>
    <w:rsid w:val="00F04F05"/>
    <w:rsid w:val="00F05380"/>
    <w:rsid w:val="00F068C6"/>
    <w:rsid w:val="00F06D73"/>
    <w:rsid w:val="00F07AA1"/>
    <w:rsid w:val="00F10440"/>
    <w:rsid w:val="00F10ECA"/>
    <w:rsid w:val="00F14421"/>
    <w:rsid w:val="00F16533"/>
    <w:rsid w:val="00F207C5"/>
    <w:rsid w:val="00F20F52"/>
    <w:rsid w:val="00F22077"/>
    <w:rsid w:val="00F22237"/>
    <w:rsid w:val="00F223E8"/>
    <w:rsid w:val="00F22F4D"/>
    <w:rsid w:val="00F25508"/>
    <w:rsid w:val="00F25ADF"/>
    <w:rsid w:val="00F25C7A"/>
    <w:rsid w:val="00F26ADF"/>
    <w:rsid w:val="00F27D5C"/>
    <w:rsid w:val="00F30353"/>
    <w:rsid w:val="00F3203E"/>
    <w:rsid w:val="00F324FA"/>
    <w:rsid w:val="00F3277A"/>
    <w:rsid w:val="00F32EF8"/>
    <w:rsid w:val="00F32F80"/>
    <w:rsid w:val="00F339FB"/>
    <w:rsid w:val="00F35717"/>
    <w:rsid w:val="00F357B9"/>
    <w:rsid w:val="00F35BD9"/>
    <w:rsid w:val="00F40A1C"/>
    <w:rsid w:val="00F411E0"/>
    <w:rsid w:val="00F43323"/>
    <w:rsid w:val="00F445A2"/>
    <w:rsid w:val="00F44F7A"/>
    <w:rsid w:val="00F46AF2"/>
    <w:rsid w:val="00F501CF"/>
    <w:rsid w:val="00F50C44"/>
    <w:rsid w:val="00F50D1C"/>
    <w:rsid w:val="00F514AF"/>
    <w:rsid w:val="00F51699"/>
    <w:rsid w:val="00F51FAC"/>
    <w:rsid w:val="00F53012"/>
    <w:rsid w:val="00F53B13"/>
    <w:rsid w:val="00F547D5"/>
    <w:rsid w:val="00F5569A"/>
    <w:rsid w:val="00F556A3"/>
    <w:rsid w:val="00F55781"/>
    <w:rsid w:val="00F560E7"/>
    <w:rsid w:val="00F56F37"/>
    <w:rsid w:val="00F57D4F"/>
    <w:rsid w:val="00F61F3C"/>
    <w:rsid w:val="00F63337"/>
    <w:rsid w:val="00F6529E"/>
    <w:rsid w:val="00F66A41"/>
    <w:rsid w:val="00F67FEA"/>
    <w:rsid w:val="00F7023C"/>
    <w:rsid w:val="00F708DA"/>
    <w:rsid w:val="00F71F5B"/>
    <w:rsid w:val="00F72C5E"/>
    <w:rsid w:val="00F75611"/>
    <w:rsid w:val="00F75C55"/>
    <w:rsid w:val="00F7642F"/>
    <w:rsid w:val="00F77364"/>
    <w:rsid w:val="00F808B8"/>
    <w:rsid w:val="00F8102F"/>
    <w:rsid w:val="00F815F7"/>
    <w:rsid w:val="00F817FA"/>
    <w:rsid w:val="00F823C0"/>
    <w:rsid w:val="00F82CC1"/>
    <w:rsid w:val="00F84D8D"/>
    <w:rsid w:val="00F85342"/>
    <w:rsid w:val="00F85CD6"/>
    <w:rsid w:val="00F85FCF"/>
    <w:rsid w:val="00F86AFC"/>
    <w:rsid w:val="00F877EB"/>
    <w:rsid w:val="00F879C3"/>
    <w:rsid w:val="00F9177C"/>
    <w:rsid w:val="00F92E27"/>
    <w:rsid w:val="00F92E9C"/>
    <w:rsid w:val="00F9332A"/>
    <w:rsid w:val="00F9562C"/>
    <w:rsid w:val="00F963B1"/>
    <w:rsid w:val="00F97B40"/>
    <w:rsid w:val="00FA1110"/>
    <w:rsid w:val="00FA13DD"/>
    <w:rsid w:val="00FA14FE"/>
    <w:rsid w:val="00FA3852"/>
    <w:rsid w:val="00FA3A5F"/>
    <w:rsid w:val="00FA3EA5"/>
    <w:rsid w:val="00FA78BF"/>
    <w:rsid w:val="00FA7E32"/>
    <w:rsid w:val="00FB05FF"/>
    <w:rsid w:val="00FB0787"/>
    <w:rsid w:val="00FB0A31"/>
    <w:rsid w:val="00FB135E"/>
    <w:rsid w:val="00FB2869"/>
    <w:rsid w:val="00FB2BF1"/>
    <w:rsid w:val="00FB2DB2"/>
    <w:rsid w:val="00FB385E"/>
    <w:rsid w:val="00FB38AB"/>
    <w:rsid w:val="00FB3F3F"/>
    <w:rsid w:val="00FB6E42"/>
    <w:rsid w:val="00FB7827"/>
    <w:rsid w:val="00FB7D53"/>
    <w:rsid w:val="00FC0219"/>
    <w:rsid w:val="00FC2592"/>
    <w:rsid w:val="00FC3750"/>
    <w:rsid w:val="00FC566F"/>
    <w:rsid w:val="00FC621F"/>
    <w:rsid w:val="00FC69FB"/>
    <w:rsid w:val="00FC6A16"/>
    <w:rsid w:val="00FC7573"/>
    <w:rsid w:val="00FD0A17"/>
    <w:rsid w:val="00FD0B2C"/>
    <w:rsid w:val="00FD218E"/>
    <w:rsid w:val="00FD26E2"/>
    <w:rsid w:val="00FD2A6A"/>
    <w:rsid w:val="00FD32DE"/>
    <w:rsid w:val="00FD36F7"/>
    <w:rsid w:val="00FD402F"/>
    <w:rsid w:val="00FD48F4"/>
    <w:rsid w:val="00FD4B8E"/>
    <w:rsid w:val="00FD4D36"/>
    <w:rsid w:val="00FD79BC"/>
    <w:rsid w:val="00FE05C9"/>
    <w:rsid w:val="00FE13BE"/>
    <w:rsid w:val="00FE15AE"/>
    <w:rsid w:val="00FE183D"/>
    <w:rsid w:val="00FE367B"/>
    <w:rsid w:val="00FE3B71"/>
    <w:rsid w:val="00FE45DF"/>
    <w:rsid w:val="00FE483E"/>
    <w:rsid w:val="00FE56A0"/>
    <w:rsid w:val="00FE5C74"/>
    <w:rsid w:val="00FE6997"/>
    <w:rsid w:val="00FF1AD4"/>
    <w:rsid w:val="00FF5A16"/>
    <w:rsid w:val="00FF611E"/>
    <w:rsid w:val="00FF649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9F722"/>
  <w15:docId w15:val="{2F11439D-1412-43E2-AE53-DA9DDF86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heading 1" w:uiPriority="99" w:qFormat="1"/>
    <w:lsdException w:name="heading 2" w:uiPriority="9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358F"/>
    <w:rPr>
      <w:lang w:val="fr-FR"/>
    </w:rPr>
  </w:style>
  <w:style w:type="paragraph" w:styleId="Naslov1">
    <w:name w:val="heading 1"/>
    <w:basedOn w:val="Normal"/>
    <w:next w:val="Normal"/>
    <w:link w:val="Naslov1Char"/>
    <w:uiPriority w:val="99"/>
    <w:qFormat/>
    <w:rsid w:val="00FE48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9"/>
    <w:unhideWhenUsed/>
    <w:qFormat/>
    <w:rsid w:val="00FB38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FB38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23127"/>
    <w:pPr>
      <w:ind w:left="720"/>
      <w:contextualSpacing/>
    </w:pPr>
  </w:style>
  <w:style w:type="character" w:styleId="Hiperveza">
    <w:name w:val="Hyperlink"/>
    <w:basedOn w:val="Zadanifontodlomka"/>
    <w:uiPriority w:val="99"/>
    <w:unhideWhenUsed/>
    <w:rsid w:val="00C11BD5"/>
    <w:rPr>
      <w:color w:val="0000FF" w:themeColor="hyperlink"/>
      <w:u w:val="single"/>
    </w:rPr>
  </w:style>
  <w:style w:type="paragraph" w:styleId="Tekstfusnote">
    <w:name w:val="footnote text"/>
    <w:aliases w:val="Footnote Text Char2,Footnote Text Char1 Char,Footnote Text Char3 Char Char,Footnote Text Char2 Char Char Char,Footnote Text Char1 Char1 Char Char Char,ft Char1 Char Char Char Char,Footnote Text Char1 Char Char Char Char Char,ft,stile 1"/>
    <w:basedOn w:val="Normal"/>
    <w:link w:val="TekstfusnoteChar"/>
    <w:uiPriority w:val="99"/>
    <w:rsid w:val="00406E8E"/>
    <w:pPr>
      <w:spacing w:after="0" w:line="240" w:lineRule="auto"/>
    </w:pPr>
    <w:rPr>
      <w:rFonts w:ascii="Cambria" w:eastAsia="Times New Roman" w:hAnsi="Cambria" w:cs="Times New Roman"/>
      <w:sz w:val="20"/>
      <w:szCs w:val="20"/>
      <w:lang w:val="en-GB"/>
    </w:rPr>
  </w:style>
  <w:style w:type="character" w:customStyle="1" w:styleId="TekstfusnoteChar">
    <w:name w:val="Tekst fusnote Char"/>
    <w:aliases w:val="Footnote Text Char2 Char,Footnote Text Char1 Char Char,Footnote Text Char3 Char Char Char,Footnote Text Char2 Char Char Char Char,Footnote Text Char1 Char1 Char Char Char Char,ft Char1 Char Char Char Char Char,ft Char,stile 1 Char"/>
    <w:basedOn w:val="Zadanifontodlomka"/>
    <w:link w:val="Tekstfusnote"/>
    <w:uiPriority w:val="99"/>
    <w:rsid w:val="00406E8E"/>
    <w:rPr>
      <w:rFonts w:ascii="Cambria" w:eastAsia="Times New Roman" w:hAnsi="Cambria" w:cs="Times New Roman"/>
      <w:sz w:val="20"/>
      <w:szCs w:val="20"/>
    </w:rPr>
  </w:style>
  <w:style w:type="character" w:styleId="Referencafusnote">
    <w:name w:val="footnote reference"/>
    <w:aliases w:val="fr,Default Paragraph Font Char Char Char1,Default Paragraph Font Para Char Char Char Char Char1,Default Paragraph Font Char Char11 Char1,Default Paragraph Font Char Char1 Char1,Default Paragraph Font Para Char Char Char Char1 Char1"/>
    <w:uiPriority w:val="99"/>
    <w:rsid w:val="00406E8E"/>
    <w:rPr>
      <w:vertAlign w:val="superscript"/>
    </w:rPr>
  </w:style>
  <w:style w:type="paragraph" w:styleId="Zaglavlje">
    <w:name w:val="header"/>
    <w:basedOn w:val="Normal"/>
    <w:link w:val="ZaglavljeChar"/>
    <w:uiPriority w:val="99"/>
    <w:unhideWhenUsed/>
    <w:rsid w:val="00F07AA1"/>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07AA1"/>
    <w:rPr>
      <w:lang w:val="fr-FR"/>
    </w:rPr>
  </w:style>
  <w:style w:type="paragraph" w:styleId="Podnoje">
    <w:name w:val="footer"/>
    <w:basedOn w:val="Normal"/>
    <w:link w:val="PodnojeChar"/>
    <w:uiPriority w:val="99"/>
    <w:unhideWhenUsed/>
    <w:rsid w:val="00F07AA1"/>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07AA1"/>
    <w:rPr>
      <w:lang w:val="fr-FR"/>
    </w:rPr>
  </w:style>
  <w:style w:type="paragraph" w:styleId="Tekstbalonia">
    <w:name w:val="Balloon Text"/>
    <w:basedOn w:val="Normal"/>
    <w:link w:val="TekstbaloniaChar"/>
    <w:uiPriority w:val="99"/>
    <w:semiHidden/>
    <w:unhideWhenUsed/>
    <w:rsid w:val="005C1E7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1E7E"/>
    <w:rPr>
      <w:rFonts w:ascii="Tahoma" w:hAnsi="Tahoma" w:cs="Tahoma"/>
      <w:sz w:val="16"/>
      <w:szCs w:val="16"/>
      <w:lang w:val="fr-FR"/>
    </w:rPr>
  </w:style>
  <w:style w:type="character" w:customStyle="1" w:styleId="Naslov1Char">
    <w:name w:val="Naslov 1 Char"/>
    <w:basedOn w:val="Zadanifontodlomka"/>
    <w:link w:val="Naslov1"/>
    <w:uiPriority w:val="99"/>
    <w:rsid w:val="00FE483E"/>
    <w:rPr>
      <w:rFonts w:asciiTheme="majorHAnsi" w:eastAsiaTheme="majorEastAsia" w:hAnsiTheme="majorHAnsi" w:cstheme="majorBidi"/>
      <w:b/>
      <w:bCs/>
      <w:color w:val="365F91" w:themeColor="accent1" w:themeShade="BF"/>
      <w:sz w:val="28"/>
      <w:szCs w:val="28"/>
      <w:lang w:val="fr-FR"/>
    </w:rPr>
  </w:style>
  <w:style w:type="character" w:styleId="Brojstranice">
    <w:name w:val="page number"/>
    <w:basedOn w:val="Zadanifontodlomka"/>
    <w:uiPriority w:val="99"/>
    <w:unhideWhenUsed/>
    <w:rsid w:val="00FE483E"/>
  </w:style>
  <w:style w:type="character" w:customStyle="1" w:styleId="hps">
    <w:name w:val="hps"/>
    <w:basedOn w:val="Zadanifontodlomka"/>
    <w:rsid w:val="003B5EFB"/>
  </w:style>
  <w:style w:type="character" w:customStyle="1" w:styleId="atn">
    <w:name w:val="atn"/>
    <w:basedOn w:val="Zadanifontodlomka"/>
    <w:rsid w:val="000C37C7"/>
  </w:style>
  <w:style w:type="table" w:styleId="Reetkatablice">
    <w:name w:val="Table Grid"/>
    <w:basedOn w:val="Obinatablica"/>
    <w:uiPriority w:val="99"/>
    <w:rsid w:val="00D46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59"/>
    <w:rsid w:val="00E05D3D"/>
    <w:pPr>
      <w:widowControl w:val="0"/>
      <w:tabs>
        <w:tab w:val="left" w:pos="567"/>
      </w:tabs>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164577"/>
    <w:rPr>
      <w:rFonts w:ascii="Calibri" w:eastAsia="Times New Roman" w:hAnsi="Calibri" w:cs="Times New Roman"/>
      <w:i/>
      <w:iCs/>
      <w:color w:val="000000"/>
      <w:lang w:val="en-US" w:eastAsia="ja-JP"/>
    </w:rPr>
  </w:style>
  <w:style w:type="character" w:customStyle="1" w:styleId="CitatChar">
    <w:name w:val="Citat Char"/>
    <w:basedOn w:val="Zadanifontodlomka"/>
    <w:link w:val="Citat"/>
    <w:uiPriority w:val="29"/>
    <w:rsid w:val="00164577"/>
    <w:rPr>
      <w:rFonts w:ascii="Calibri" w:eastAsia="Times New Roman" w:hAnsi="Calibri" w:cs="Times New Roman"/>
      <w:i/>
      <w:iCs/>
      <w:color w:val="000000"/>
      <w:lang w:val="en-US" w:eastAsia="ja-JP"/>
    </w:rPr>
  </w:style>
  <w:style w:type="character" w:customStyle="1" w:styleId="Naslov2Char">
    <w:name w:val="Naslov 2 Char"/>
    <w:basedOn w:val="Zadanifontodlomka"/>
    <w:link w:val="Naslov2"/>
    <w:uiPriority w:val="99"/>
    <w:rsid w:val="00FB38AB"/>
    <w:rPr>
      <w:rFonts w:asciiTheme="majorHAnsi" w:eastAsiaTheme="majorEastAsia" w:hAnsiTheme="majorHAnsi" w:cstheme="majorBidi"/>
      <w:b/>
      <w:bCs/>
      <w:color w:val="4F81BD" w:themeColor="accent1"/>
      <w:sz w:val="26"/>
      <w:szCs w:val="26"/>
      <w:lang w:val="fr-FR"/>
    </w:rPr>
  </w:style>
  <w:style w:type="character" w:customStyle="1" w:styleId="Naslov3Char">
    <w:name w:val="Naslov 3 Char"/>
    <w:basedOn w:val="Zadanifontodlomka"/>
    <w:link w:val="Naslov3"/>
    <w:uiPriority w:val="9"/>
    <w:rsid w:val="00FB38AB"/>
    <w:rPr>
      <w:rFonts w:asciiTheme="majorHAnsi" w:eastAsiaTheme="majorEastAsia" w:hAnsiTheme="majorHAnsi" w:cstheme="majorBidi"/>
      <w:b/>
      <w:bCs/>
      <w:color w:val="4F81BD" w:themeColor="accent1"/>
      <w:lang w:val="fr-FR"/>
    </w:rPr>
  </w:style>
  <w:style w:type="character" w:styleId="Referencakomentara">
    <w:name w:val="annotation reference"/>
    <w:basedOn w:val="Zadanifontodlomka"/>
    <w:uiPriority w:val="99"/>
    <w:semiHidden/>
    <w:rsid w:val="00FB38AB"/>
    <w:rPr>
      <w:rFonts w:cs="Times New Roman"/>
      <w:sz w:val="16"/>
    </w:rPr>
  </w:style>
  <w:style w:type="paragraph" w:styleId="Tekstkomentara">
    <w:name w:val="annotation text"/>
    <w:basedOn w:val="Normal"/>
    <w:link w:val="TekstkomentaraChar"/>
    <w:uiPriority w:val="99"/>
    <w:semiHidden/>
    <w:rsid w:val="00FB38AB"/>
    <w:pPr>
      <w:spacing w:after="0" w:line="240" w:lineRule="auto"/>
      <w:jc w:val="both"/>
    </w:pPr>
    <w:rPr>
      <w:rFonts w:ascii="Verdana" w:eastAsia="Times New Roman" w:hAnsi="Verdana" w:cs="Times New Roman"/>
      <w:sz w:val="20"/>
      <w:szCs w:val="20"/>
      <w:lang w:val="en-GB" w:eastAsia="sl-SI"/>
    </w:rPr>
  </w:style>
  <w:style w:type="character" w:customStyle="1" w:styleId="TekstkomentaraChar">
    <w:name w:val="Tekst komentara Char"/>
    <w:basedOn w:val="Zadanifontodlomka"/>
    <w:link w:val="Tekstkomentara"/>
    <w:uiPriority w:val="99"/>
    <w:semiHidden/>
    <w:rsid w:val="00FB38AB"/>
    <w:rPr>
      <w:rFonts w:ascii="Verdana" w:eastAsia="Times New Roman" w:hAnsi="Verdana" w:cs="Times New Roman"/>
      <w:sz w:val="20"/>
      <w:szCs w:val="20"/>
      <w:lang w:eastAsia="sl-SI"/>
    </w:rPr>
  </w:style>
  <w:style w:type="paragraph" w:styleId="Sadraj1">
    <w:name w:val="toc 1"/>
    <w:basedOn w:val="Normal"/>
    <w:next w:val="Normal"/>
    <w:autoRedefine/>
    <w:uiPriority w:val="39"/>
    <w:rsid w:val="00FB38AB"/>
    <w:pPr>
      <w:tabs>
        <w:tab w:val="left" w:pos="426"/>
        <w:tab w:val="left" w:pos="709"/>
        <w:tab w:val="right" w:leader="dot" w:pos="9034"/>
      </w:tabs>
      <w:spacing w:before="120" w:after="120" w:line="240" w:lineRule="auto"/>
    </w:pPr>
    <w:rPr>
      <w:rFonts w:ascii="Calibri" w:eastAsia="Times New Roman" w:hAnsi="Calibri" w:cs="Calibri"/>
      <w:b/>
      <w:bCs/>
      <w:caps/>
      <w:sz w:val="20"/>
      <w:szCs w:val="20"/>
      <w:lang w:val="en-GB" w:eastAsia="fr-FR"/>
    </w:rPr>
  </w:style>
  <w:style w:type="paragraph" w:styleId="Sadraj2">
    <w:name w:val="toc 2"/>
    <w:basedOn w:val="Normal"/>
    <w:next w:val="Normal"/>
    <w:autoRedefine/>
    <w:uiPriority w:val="39"/>
    <w:rsid w:val="00FB38AB"/>
    <w:pPr>
      <w:tabs>
        <w:tab w:val="left" w:pos="709"/>
        <w:tab w:val="right" w:leader="dot" w:pos="9060"/>
      </w:tabs>
      <w:spacing w:after="0" w:line="240" w:lineRule="auto"/>
      <w:ind w:left="240"/>
      <w:jc w:val="both"/>
    </w:pPr>
    <w:rPr>
      <w:rFonts w:ascii="Calibri" w:eastAsia="Times New Roman" w:hAnsi="Calibri" w:cs="Calibri"/>
      <w:smallCaps/>
      <w:sz w:val="20"/>
      <w:szCs w:val="20"/>
      <w:lang w:val="en-GB" w:eastAsia="fr-FR"/>
    </w:rPr>
  </w:style>
  <w:style w:type="paragraph" w:styleId="Sadraj3">
    <w:name w:val="toc 3"/>
    <w:basedOn w:val="Normal"/>
    <w:next w:val="Normal"/>
    <w:autoRedefine/>
    <w:uiPriority w:val="39"/>
    <w:rsid w:val="004515B2"/>
    <w:pPr>
      <w:tabs>
        <w:tab w:val="right" w:leader="dot" w:pos="9060"/>
      </w:tabs>
      <w:spacing w:after="0" w:line="240" w:lineRule="auto"/>
      <w:ind w:left="480"/>
      <w:jc w:val="both"/>
    </w:pPr>
    <w:rPr>
      <w:rFonts w:ascii="Calibri" w:eastAsia="Times New Roman" w:hAnsi="Calibri" w:cstheme="minorHAnsi"/>
      <w:i/>
      <w:iCs/>
      <w:noProof/>
      <w:sz w:val="20"/>
      <w:szCs w:val="20"/>
      <w:lang w:val="en-GB" w:eastAsia="fr-FR"/>
    </w:rPr>
  </w:style>
  <w:style w:type="paragraph" w:customStyle="1" w:styleId="Corpsde">
    <w:name w:val="Corps de"/>
    <w:basedOn w:val="Normal"/>
    <w:uiPriority w:val="99"/>
    <w:rsid w:val="00316A72"/>
    <w:pPr>
      <w:spacing w:after="0" w:line="240" w:lineRule="auto"/>
      <w:jc w:val="center"/>
    </w:pPr>
    <w:rPr>
      <w:rFonts w:ascii="Verdana" w:eastAsia="Times New Roman" w:hAnsi="Verdana" w:cs="Times New Roman"/>
      <w:b/>
      <w:sz w:val="18"/>
      <w:szCs w:val="24"/>
      <w:u w:val="single"/>
      <w:lang w:val="en-US" w:eastAsia="fr-FR"/>
    </w:rPr>
  </w:style>
  <w:style w:type="paragraph" w:customStyle="1" w:styleId="Default">
    <w:name w:val="Default"/>
    <w:rsid w:val="00B85D0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Uvuenotijeloteksta">
    <w:name w:val="Body Text Indent"/>
    <w:basedOn w:val="Normal"/>
    <w:link w:val="UvuenotijelotekstaChar"/>
    <w:rsid w:val="00607857"/>
    <w:pPr>
      <w:tabs>
        <w:tab w:val="left" w:pos="399"/>
      </w:tabs>
      <w:spacing w:after="0" w:line="240" w:lineRule="auto"/>
      <w:ind w:left="399" w:hanging="399"/>
    </w:pPr>
    <w:rPr>
      <w:rFonts w:ascii="Arial Narrow" w:eastAsia="Times New Roman" w:hAnsi="Arial Narrow" w:cs="Times New Roman"/>
      <w:sz w:val="24"/>
      <w:szCs w:val="24"/>
      <w:lang w:val="en-GB" w:eastAsia="fr-FR"/>
    </w:rPr>
  </w:style>
  <w:style w:type="character" w:customStyle="1" w:styleId="UvuenotijelotekstaChar">
    <w:name w:val="Uvučeno tijelo teksta Char"/>
    <w:basedOn w:val="Zadanifontodlomka"/>
    <w:link w:val="Uvuenotijeloteksta"/>
    <w:rsid w:val="00607857"/>
    <w:rPr>
      <w:rFonts w:ascii="Arial Narrow" w:eastAsia="Times New Roman" w:hAnsi="Arial Narrow" w:cs="Times New Roman"/>
      <w:sz w:val="24"/>
      <w:szCs w:val="24"/>
      <w:lang w:eastAsia="fr-FR"/>
    </w:rPr>
  </w:style>
  <w:style w:type="paragraph" w:styleId="Tijeloteksta">
    <w:name w:val="Body Text"/>
    <w:basedOn w:val="Normal"/>
    <w:link w:val="TijelotekstaChar"/>
    <w:uiPriority w:val="99"/>
    <w:unhideWhenUsed/>
    <w:rsid w:val="00BF2DD5"/>
    <w:pPr>
      <w:spacing w:after="120"/>
    </w:pPr>
  </w:style>
  <w:style w:type="character" w:customStyle="1" w:styleId="TijelotekstaChar">
    <w:name w:val="Tijelo teksta Char"/>
    <w:basedOn w:val="Zadanifontodlomka"/>
    <w:link w:val="Tijeloteksta"/>
    <w:uiPriority w:val="99"/>
    <w:rsid w:val="00BF2DD5"/>
    <w:rPr>
      <w:lang w:val="fr-FR"/>
    </w:rPr>
  </w:style>
  <w:style w:type="character" w:customStyle="1" w:styleId="A1">
    <w:name w:val="A1"/>
    <w:uiPriority w:val="99"/>
    <w:rsid w:val="00E7633C"/>
    <w:rPr>
      <w:rFonts w:cs="Times"/>
      <w:color w:val="000000"/>
      <w:sz w:val="22"/>
      <w:szCs w:val="22"/>
    </w:rPr>
  </w:style>
  <w:style w:type="paragraph" w:customStyle="1" w:styleId="Heading1">
    <w:name w:val="Heading1"/>
    <w:basedOn w:val="Normal"/>
    <w:link w:val="Heading1Char"/>
    <w:qFormat/>
    <w:rsid w:val="00C762F8"/>
    <w:pPr>
      <w:tabs>
        <w:tab w:val="left" w:pos="567"/>
        <w:tab w:val="left" w:pos="709"/>
      </w:tabs>
      <w:suppressAutoHyphens/>
      <w:spacing w:after="0"/>
    </w:pPr>
    <w:rPr>
      <w:rFonts w:eastAsiaTheme="majorEastAsia" w:cstheme="majorBidi"/>
      <w:b/>
      <w:bCs/>
      <w:sz w:val="24"/>
      <w:szCs w:val="24"/>
      <w:u w:val="single"/>
      <w:lang w:val="en-GB"/>
    </w:rPr>
  </w:style>
  <w:style w:type="character" w:customStyle="1" w:styleId="Heading1Char">
    <w:name w:val="Heading1 Char"/>
    <w:basedOn w:val="Zadanifontodlomka"/>
    <w:link w:val="Heading1"/>
    <w:rsid w:val="00C762F8"/>
    <w:rPr>
      <w:rFonts w:eastAsiaTheme="majorEastAsia" w:cstheme="majorBidi"/>
      <w:b/>
      <w:bCs/>
      <w:sz w:val="24"/>
      <w:szCs w:val="24"/>
      <w:u w:val="single"/>
    </w:rPr>
  </w:style>
  <w:style w:type="paragraph" w:styleId="StandardWeb">
    <w:name w:val="Normal (Web)"/>
    <w:basedOn w:val="Normal"/>
    <w:uiPriority w:val="99"/>
    <w:unhideWhenUsed/>
    <w:rsid w:val="00CD61EB"/>
    <w:pPr>
      <w:spacing w:before="100" w:beforeAutospacing="1" w:after="100" w:afterAutospacing="1" w:line="240" w:lineRule="auto"/>
    </w:pPr>
    <w:rPr>
      <w:rFonts w:ascii="Times New Roman" w:hAnsi="Times New Roman" w:cs="Times New Roman"/>
      <w:sz w:val="24"/>
      <w:szCs w:val="24"/>
      <w:lang w:val="en-GB" w:eastAsia="en-GB"/>
    </w:rPr>
  </w:style>
  <w:style w:type="paragraph" w:styleId="Predmetkomentara">
    <w:name w:val="annotation subject"/>
    <w:basedOn w:val="Tekstkomentara"/>
    <w:next w:val="Tekstkomentara"/>
    <w:link w:val="PredmetkomentaraChar"/>
    <w:semiHidden/>
    <w:unhideWhenUsed/>
    <w:rsid w:val="00AF3139"/>
    <w:pPr>
      <w:spacing w:after="200"/>
      <w:jc w:val="left"/>
    </w:pPr>
    <w:rPr>
      <w:rFonts w:asciiTheme="minorHAnsi" w:eastAsiaTheme="minorHAnsi" w:hAnsiTheme="minorHAnsi" w:cstheme="minorBidi"/>
      <w:b/>
      <w:bCs/>
      <w:lang w:val="fr-FR" w:eastAsia="en-US"/>
    </w:rPr>
  </w:style>
  <w:style w:type="character" w:customStyle="1" w:styleId="PredmetkomentaraChar">
    <w:name w:val="Predmet komentara Char"/>
    <w:basedOn w:val="TekstkomentaraChar"/>
    <w:link w:val="Predmetkomentara"/>
    <w:semiHidden/>
    <w:rsid w:val="00AF3139"/>
    <w:rPr>
      <w:rFonts w:ascii="Verdana" w:eastAsia="Times New Roman" w:hAnsi="Verdana" w:cs="Times New Roman"/>
      <w:b/>
      <w:bCs/>
      <w:sz w:val="20"/>
      <w:szCs w:val="20"/>
      <w:lang w:val="fr-FR" w:eastAsia="sl-SI"/>
    </w:rPr>
  </w:style>
  <w:style w:type="character" w:customStyle="1" w:styleId="converterresult-toamount">
    <w:name w:val="converterresult-toamount"/>
    <w:basedOn w:val="Zadanifontodlomka"/>
    <w:rsid w:val="009919AC"/>
  </w:style>
  <w:style w:type="paragraph" w:customStyle="1" w:styleId="t-9-8">
    <w:name w:val="t-9-8"/>
    <w:basedOn w:val="Normal"/>
    <w:rsid w:val="007123D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7123D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lrzxr">
    <w:name w:val="lrzxr"/>
    <w:basedOn w:val="Zadanifontodlomka"/>
    <w:rsid w:val="00647226"/>
  </w:style>
  <w:style w:type="character" w:customStyle="1" w:styleId="highlight">
    <w:name w:val="highlight"/>
    <w:basedOn w:val="Zadanifontodlomka"/>
    <w:rsid w:val="00141F65"/>
  </w:style>
  <w:style w:type="character" w:customStyle="1" w:styleId="UnresolvedMention1">
    <w:name w:val="Unresolved Mention1"/>
    <w:basedOn w:val="Zadanifontodlomka"/>
    <w:uiPriority w:val="99"/>
    <w:semiHidden/>
    <w:unhideWhenUsed/>
    <w:rsid w:val="006A21BB"/>
    <w:rPr>
      <w:color w:val="605E5C"/>
      <w:shd w:val="clear" w:color="auto" w:fill="E1DFDD"/>
    </w:rPr>
  </w:style>
  <w:style w:type="paragraph" w:styleId="Kartadokumenta">
    <w:name w:val="Document Map"/>
    <w:basedOn w:val="Normal"/>
    <w:link w:val="KartadokumentaChar"/>
    <w:semiHidden/>
    <w:unhideWhenUsed/>
    <w:rsid w:val="00F85342"/>
    <w:pPr>
      <w:spacing w:after="0" w:line="240" w:lineRule="auto"/>
    </w:pPr>
    <w:rPr>
      <w:rFonts w:ascii="Lucida Grande" w:hAnsi="Lucida Grande" w:cs="Lucida Grande"/>
      <w:sz w:val="24"/>
      <w:szCs w:val="24"/>
    </w:rPr>
  </w:style>
  <w:style w:type="character" w:customStyle="1" w:styleId="KartadokumentaChar">
    <w:name w:val="Karta dokumenta Char"/>
    <w:basedOn w:val="Zadanifontodlomka"/>
    <w:link w:val="Kartadokumenta"/>
    <w:semiHidden/>
    <w:rsid w:val="00F85342"/>
    <w:rPr>
      <w:rFonts w:ascii="Lucida Grande" w:hAnsi="Lucida Grande" w:cs="Lucida Grande"/>
      <w:sz w:val="24"/>
      <w:szCs w:val="24"/>
      <w:lang w:val="fr-FR"/>
    </w:rPr>
  </w:style>
  <w:style w:type="character" w:styleId="SlijeenaHiperveza">
    <w:name w:val="FollowedHyperlink"/>
    <w:basedOn w:val="Zadanifontodlomka"/>
    <w:semiHidden/>
    <w:unhideWhenUsed/>
    <w:rsid w:val="00EB35D7"/>
    <w:rPr>
      <w:color w:val="800080" w:themeColor="followedHyperlink"/>
      <w:u w:val="single"/>
    </w:rPr>
  </w:style>
  <w:style w:type="character" w:customStyle="1" w:styleId="UnresolvedMention2">
    <w:name w:val="Unresolved Mention2"/>
    <w:basedOn w:val="Zadanifontodlomka"/>
    <w:uiPriority w:val="99"/>
    <w:semiHidden/>
    <w:unhideWhenUsed/>
    <w:rsid w:val="00CF3F9F"/>
    <w:rPr>
      <w:color w:val="605E5C"/>
      <w:shd w:val="clear" w:color="auto" w:fill="E1DFDD"/>
    </w:rPr>
  </w:style>
  <w:style w:type="paragraph" w:styleId="Revizija">
    <w:name w:val="Revision"/>
    <w:hidden/>
    <w:semiHidden/>
    <w:rsid w:val="002E20EC"/>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7166">
      <w:bodyDiv w:val="1"/>
      <w:marLeft w:val="0"/>
      <w:marRight w:val="0"/>
      <w:marTop w:val="0"/>
      <w:marBottom w:val="0"/>
      <w:divBdr>
        <w:top w:val="none" w:sz="0" w:space="0" w:color="auto"/>
        <w:left w:val="none" w:sz="0" w:space="0" w:color="auto"/>
        <w:bottom w:val="none" w:sz="0" w:space="0" w:color="auto"/>
        <w:right w:val="none" w:sz="0" w:space="0" w:color="auto"/>
      </w:divBdr>
    </w:div>
    <w:div w:id="200022788">
      <w:bodyDiv w:val="1"/>
      <w:marLeft w:val="0"/>
      <w:marRight w:val="0"/>
      <w:marTop w:val="0"/>
      <w:marBottom w:val="0"/>
      <w:divBdr>
        <w:top w:val="none" w:sz="0" w:space="0" w:color="auto"/>
        <w:left w:val="none" w:sz="0" w:space="0" w:color="auto"/>
        <w:bottom w:val="none" w:sz="0" w:space="0" w:color="auto"/>
        <w:right w:val="none" w:sz="0" w:space="0" w:color="auto"/>
      </w:divBdr>
    </w:div>
    <w:div w:id="248346532">
      <w:bodyDiv w:val="1"/>
      <w:marLeft w:val="0"/>
      <w:marRight w:val="0"/>
      <w:marTop w:val="0"/>
      <w:marBottom w:val="0"/>
      <w:divBdr>
        <w:top w:val="none" w:sz="0" w:space="0" w:color="auto"/>
        <w:left w:val="none" w:sz="0" w:space="0" w:color="auto"/>
        <w:bottom w:val="none" w:sz="0" w:space="0" w:color="auto"/>
        <w:right w:val="none" w:sz="0" w:space="0" w:color="auto"/>
      </w:divBdr>
    </w:div>
    <w:div w:id="308362607">
      <w:bodyDiv w:val="1"/>
      <w:marLeft w:val="0"/>
      <w:marRight w:val="0"/>
      <w:marTop w:val="0"/>
      <w:marBottom w:val="0"/>
      <w:divBdr>
        <w:top w:val="none" w:sz="0" w:space="0" w:color="auto"/>
        <w:left w:val="none" w:sz="0" w:space="0" w:color="auto"/>
        <w:bottom w:val="none" w:sz="0" w:space="0" w:color="auto"/>
        <w:right w:val="none" w:sz="0" w:space="0" w:color="auto"/>
      </w:divBdr>
    </w:div>
    <w:div w:id="522986496">
      <w:bodyDiv w:val="1"/>
      <w:marLeft w:val="0"/>
      <w:marRight w:val="0"/>
      <w:marTop w:val="0"/>
      <w:marBottom w:val="0"/>
      <w:divBdr>
        <w:top w:val="none" w:sz="0" w:space="0" w:color="auto"/>
        <w:left w:val="none" w:sz="0" w:space="0" w:color="auto"/>
        <w:bottom w:val="none" w:sz="0" w:space="0" w:color="auto"/>
        <w:right w:val="none" w:sz="0" w:space="0" w:color="auto"/>
      </w:divBdr>
    </w:div>
    <w:div w:id="550003620">
      <w:bodyDiv w:val="1"/>
      <w:marLeft w:val="0"/>
      <w:marRight w:val="0"/>
      <w:marTop w:val="0"/>
      <w:marBottom w:val="0"/>
      <w:divBdr>
        <w:top w:val="none" w:sz="0" w:space="0" w:color="auto"/>
        <w:left w:val="none" w:sz="0" w:space="0" w:color="auto"/>
        <w:bottom w:val="none" w:sz="0" w:space="0" w:color="auto"/>
        <w:right w:val="none" w:sz="0" w:space="0" w:color="auto"/>
      </w:divBdr>
    </w:div>
    <w:div w:id="584923915">
      <w:bodyDiv w:val="1"/>
      <w:marLeft w:val="0"/>
      <w:marRight w:val="0"/>
      <w:marTop w:val="0"/>
      <w:marBottom w:val="0"/>
      <w:divBdr>
        <w:top w:val="none" w:sz="0" w:space="0" w:color="auto"/>
        <w:left w:val="none" w:sz="0" w:space="0" w:color="auto"/>
        <w:bottom w:val="none" w:sz="0" w:space="0" w:color="auto"/>
        <w:right w:val="none" w:sz="0" w:space="0" w:color="auto"/>
      </w:divBdr>
    </w:div>
    <w:div w:id="722295898">
      <w:bodyDiv w:val="1"/>
      <w:marLeft w:val="0"/>
      <w:marRight w:val="0"/>
      <w:marTop w:val="0"/>
      <w:marBottom w:val="0"/>
      <w:divBdr>
        <w:top w:val="none" w:sz="0" w:space="0" w:color="auto"/>
        <w:left w:val="none" w:sz="0" w:space="0" w:color="auto"/>
        <w:bottom w:val="none" w:sz="0" w:space="0" w:color="auto"/>
        <w:right w:val="none" w:sz="0" w:space="0" w:color="auto"/>
      </w:divBdr>
    </w:div>
    <w:div w:id="966787341">
      <w:bodyDiv w:val="1"/>
      <w:marLeft w:val="0"/>
      <w:marRight w:val="0"/>
      <w:marTop w:val="0"/>
      <w:marBottom w:val="0"/>
      <w:divBdr>
        <w:top w:val="none" w:sz="0" w:space="0" w:color="auto"/>
        <w:left w:val="none" w:sz="0" w:space="0" w:color="auto"/>
        <w:bottom w:val="none" w:sz="0" w:space="0" w:color="auto"/>
        <w:right w:val="none" w:sz="0" w:space="0" w:color="auto"/>
      </w:divBdr>
    </w:div>
    <w:div w:id="1030230552">
      <w:bodyDiv w:val="1"/>
      <w:marLeft w:val="0"/>
      <w:marRight w:val="0"/>
      <w:marTop w:val="0"/>
      <w:marBottom w:val="0"/>
      <w:divBdr>
        <w:top w:val="none" w:sz="0" w:space="0" w:color="auto"/>
        <w:left w:val="none" w:sz="0" w:space="0" w:color="auto"/>
        <w:bottom w:val="none" w:sz="0" w:space="0" w:color="auto"/>
        <w:right w:val="none" w:sz="0" w:space="0" w:color="auto"/>
      </w:divBdr>
    </w:div>
    <w:div w:id="1142574043">
      <w:bodyDiv w:val="1"/>
      <w:marLeft w:val="0"/>
      <w:marRight w:val="0"/>
      <w:marTop w:val="0"/>
      <w:marBottom w:val="0"/>
      <w:divBdr>
        <w:top w:val="none" w:sz="0" w:space="0" w:color="auto"/>
        <w:left w:val="none" w:sz="0" w:space="0" w:color="auto"/>
        <w:bottom w:val="none" w:sz="0" w:space="0" w:color="auto"/>
        <w:right w:val="none" w:sz="0" w:space="0" w:color="auto"/>
      </w:divBdr>
    </w:div>
    <w:div w:id="1569993059">
      <w:bodyDiv w:val="1"/>
      <w:marLeft w:val="0"/>
      <w:marRight w:val="0"/>
      <w:marTop w:val="0"/>
      <w:marBottom w:val="0"/>
      <w:divBdr>
        <w:top w:val="none" w:sz="0" w:space="0" w:color="auto"/>
        <w:left w:val="none" w:sz="0" w:space="0" w:color="auto"/>
        <w:bottom w:val="none" w:sz="0" w:space="0" w:color="auto"/>
        <w:right w:val="none" w:sz="0" w:space="0" w:color="auto"/>
      </w:divBdr>
    </w:div>
    <w:div w:id="1673069273">
      <w:bodyDiv w:val="1"/>
      <w:marLeft w:val="0"/>
      <w:marRight w:val="0"/>
      <w:marTop w:val="0"/>
      <w:marBottom w:val="0"/>
      <w:divBdr>
        <w:top w:val="none" w:sz="0" w:space="0" w:color="auto"/>
        <w:left w:val="none" w:sz="0" w:space="0" w:color="auto"/>
        <w:bottom w:val="none" w:sz="0" w:space="0" w:color="auto"/>
        <w:right w:val="none" w:sz="0" w:space="0" w:color="auto"/>
      </w:divBdr>
    </w:div>
    <w:div w:id="1695381851">
      <w:bodyDiv w:val="1"/>
      <w:marLeft w:val="0"/>
      <w:marRight w:val="0"/>
      <w:marTop w:val="0"/>
      <w:marBottom w:val="0"/>
      <w:divBdr>
        <w:top w:val="none" w:sz="0" w:space="0" w:color="auto"/>
        <w:left w:val="none" w:sz="0" w:space="0" w:color="auto"/>
        <w:bottom w:val="none" w:sz="0" w:space="0" w:color="auto"/>
        <w:right w:val="none" w:sz="0" w:space="0" w:color="auto"/>
      </w:divBdr>
    </w:div>
    <w:div w:id="1717856360">
      <w:bodyDiv w:val="1"/>
      <w:marLeft w:val="0"/>
      <w:marRight w:val="0"/>
      <w:marTop w:val="0"/>
      <w:marBottom w:val="0"/>
      <w:divBdr>
        <w:top w:val="none" w:sz="0" w:space="0" w:color="auto"/>
        <w:left w:val="none" w:sz="0" w:space="0" w:color="auto"/>
        <w:bottom w:val="none" w:sz="0" w:space="0" w:color="auto"/>
        <w:right w:val="none" w:sz="0" w:space="0" w:color="auto"/>
      </w:divBdr>
    </w:div>
    <w:div w:id="1782257516">
      <w:bodyDiv w:val="1"/>
      <w:marLeft w:val="0"/>
      <w:marRight w:val="0"/>
      <w:marTop w:val="0"/>
      <w:marBottom w:val="0"/>
      <w:divBdr>
        <w:top w:val="none" w:sz="0" w:space="0" w:color="auto"/>
        <w:left w:val="none" w:sz="0" w:space="0" w:color="auto"/>
        <w:bottom w:val="none" w:sz="0" w:space="0" w:color="auto"/>
        <w:right w:val="none" w:sz="0" w:space="0" w:color="auto"/>
      </w:divBdr>
    </w:div>
    <w:div w:id="1917588299">
      <w:bodyDiv w:val="1"/>
      <w:marLeft w:val="0"/>
      <w:marRight w:val="0"/>
      <w:marTop w:val="0"/>
      <w:marBottom w:val="0"/>
      <w:divBdr>
        <w:top w:val="none" w:sz="0" w:space="0" w:color="auto"/>
        <w:left w:val="none" w:sz="0" w:space="0" w:color="auto"/>
        <w:bottom w:val="none" w:sz="0" w:space="0" w:color="auto"/>
        <w:right w:val="none" w:sz="0" w:space="0" w:color="auto"/>
      </w:divBdr>
    </w:div>
    <w:div w:id="2042894371">
      <w:bodyDiv w:val="1"/>
      <w:marLeft w:val="0"/>
      <w:marRight w:val="0"/>
      <w:marTop w:val="0"/>
      <w:marBottom w:val="0"/>
      <w:divBdr>
        <w:top w:val="none" w:sz="0" w:space="0" w:color="auto"/>
        <w:left w:val="none" w:sz="0" w:space="0" w:color="auto"/>
        <w:bottom w:val="none" w:sz="0" w:space="0" w:color="auto"/>
        <w:right w:val="none" w:sz="0" w:space="0" w:color="auto"/>
      </w:divBdr>
    </w:div>
    <w:div w:id="2046755810">
      <w:bodyDiv w:val="1"/>
      <w:marLeft w:val="0"/>
      <w:marRight w:val="0"/>
      <w:marTop w:val="0"/>
      <w:marBottom w:val="0"/>
      <w:divBdr>
        <w:top w:val="none" w:sz="0" w:space="0" w:color="auto"/>
        <w:left w:val="none" w:sz="0" w:space="0" w:color="auto"/>
        <w:bottom w:val="none" w:sz="0" w:space="0" w:color="auto"/>
        <w:right w:val="none" w:sz="0" w:space="0" w:color="auto"/>
      </w:divBdr>
    </w:div>
    <w:div w:id="2062711471">
      <w:bodyDiv w:val="1"/>
      <w:marLeft w:val="0"/>
      <w:marRight w:val="0"/>
      <w:marTop w:val="0"/>
      <w:marBottom w:val="0"/>
      <w:divBdr>
        <w:top w:val="none" w:sz="0" w:space="0" w:color="auto"/>
        <w:left w:val="none" w:sz="0" w:space="0" w:color="auto"/>
        <w:bottom w:val="none" w:sz="0" w:space="0" w:color="auto"/>
        <w:right w:val="none" w:sz="0" w:space="0" w:color="auto"/>
      </w:divBdr>
    </w:div>
    <w:div w:id="2137487013">
      <w:bodyDiv w:val="1"/>
      <w:marLeft w:val="0"/>
      <w:marRight w:val="0"/>
      <w:marTop w:val="0"/>
      <w:marBottom w:val="0"/>
      <w:divBdr>
        <w:top w:val="none" w:sz="0" w:space="0" w:color="auto"/>
        <w:left w:val="none" w:sz="0" w:space="0" w:color="auto"/>
        <w:bottom w:val="none" w:sz="0" w:space="0" w:color="auto"/>
        <w:right w:val="none" w:sz="0" w:space="0" w:color="auto"/>
      </w:divBdr>
      <w:divsChild>
        <w:div w:id="514423877">
          <w:marLeft w:val="0"/>
          <w:marRight w:val="0"/>
          <w:marTop w:val="0"/>
          <w:marBottom w:val="0"/>
          <w:divBdr>
            <w:top w:val="none" w:sz="0" w:space="0" w:color="auto"/>
            <w:left w:val="none" w:sz="0" w:space="0" w:color="auto"/>
            <w:bottom w:val="none" w:sz="0" w:space="0" w:color="auto"/>
            <w:right w:val="none" w:sz="0" w:space="0" w:color="auto"/>
          </w:divBdr>
          <w:divsChild>
            <w:div w:id="2129615165">
              <w:marLeft w:val="0"/>
              <w:marRight w:val="0"/>
              <w:marTop w:val="0"/>
              <w:marBottom w:val="0"/>
              <w:divBdr>
                <w:top w:val="none" w:sz="0" w:space="0" w:color="auto"/>
                <w:left w:val="none" w:sz="0" w:space="0" w:color="auto"/>
                <w:bottom w:val="none" w:sz="0" w:space="0" w:color="auto"/>
                <w:right w:val="none" w:sz="0" w:space="0" w:color="auto"/>
              </w:divBdr>
              <w:divsChild>
                <w:div w:id="1019114794">
                  <w:marLeft w:val="0"/>
                  <w:marRight w:val="0"/>
                  <w:marTop w:val="225"/>
                  <w:marBottom w:val="0"/>
                  <w:divBdr>
                    <w:top w:val="none" w:sz="0" w:space="0" w:color="auto"/>
                    <w:left w:val="none" w:sz="0" w:space="0" w:color="auto"/>
                    <w:bottom w:val="none" w:sz="0" w:space="0" w:color="auto"/>
                    <w:right w:val="none" w:sz="0" w:space="0" w:color="auto"/>
                  </w:divBdr>
                  <w:divsChild>
                    <w:div w:id="19341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jpeg"/><Relationship Id="rId26" Type="http://schemas.openxmlformats.org/officeDocument/2006/relationships/hyperlink" Target="https://search.coe.int/cm/Pages/result_details.aspx?ObjectId=09000016805c5ea5" TargetMode="External"/><Relationship Id="rId3" Type="http://schemas.openxmlformats.org/officeDocument/2006/relationships/customXml" Target="../customXml/item3.xml"/><Relationship Id="rId21" Type="http://schemas.openxmlformats.org/officeDocument/2006/relationships/hyperlink" Target="https://www.coe.int/en/web/greco/evaluations"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yperlink" Target="http://data.europa.eu/euodp/en/data/dataset/S1076_79_1_397" TargetMode="Externa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sukobinteresa.hr/posi/ws.nsf/wi?OpenForm&amp;1" TargetMode="Externa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https://esavjetovanja.gov.hr/Econ/MainScreen?EntityId=12199" TargetMode="External"/><Relationship Id="rId28" Type="http://schemas.openxmlformats.org/officeDocument/2006/relationships/hyperlink" Target="http://www.coe.int/greco" TargetMode="External"/><Relationship Id="rId10" Type="http://schemas.openxmlformats.org/officeDocument/2006/relationships/customXml" Target="../customXml/item10.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s://rm.coe.int/1680519084" TargetMode="External"/><Relationship Id="rId27" Type="http://schemas.openxmlformats.org/officeDocument/2006/relationships/hyperlink" Target="http://www.coe.int/greco"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ristupinfo.hr/hrvatski-sabor-prihvatio-izvjesce-o-provedbi-zppi-za-2018-godinu/" TargetMode="External"/><Relationship Id="rId13" Type="http://schemas.openxmlformats.org/officeDocument/2006/relationships/hyperlink" Target="https://rm.coe.int/CoERMPublicCommonSearchServices/DisplayDCTMContent?documentId=09000016806c2d15" TargetMode="External"/><Relationship Id="rId3" Type="http://schemas.openxmlformats.org/officeDocument/2006/relationships/hyperlink" Target="https://ec.europa.eu/commfrontoffice/publicopinion/index.cfm/ResultDoc/download/DocumentKy/81998" TargetMode="External"/><Relationship Id="rId7" Type="http://schemas.openxmlformats.org/officeDocument/2006/relationships/hyperlink" Target="http://www.sukobinteresa.hr/hr/misljenja" TargetMode="External"/><Relationship Id="rId12" Type="http://schemas.openxmlformats.org/officeDocument/2006/relationships/hyperlink" Target="https://rm.coe.int/fourth-evaluation-round-corruption-prevention-in-respect-of-members-of/1680920114" TargetMode="External"/><Relationship Id="rId2" Type="http://schemas.openxmlformats.org/officeDocument/2006/relationships/hyperlink" Target="https://www.transparency.org/country/HRV" TargetMode="External"/><Relationship Id="rId16" Type="http://schemas.openxmlformats.org/officeDocument/2006/relationships/hyperlink" Target="https://rm.coe.int/16805e297e" TargetMode="External"/><Relationship Id="rId1" Type="http://schemas.openxmlformats.org/officeDocument/2006/relationships/hyperlink" Target="https://rm.coe.int/CoERMPublicCommonSearchServices/DisplayDCTMContent?documentId=09000016806cbe37" TargetMode="External"/><Relationship Id="rId6" Type="http://schemas.openxmlformats.org/officeDocument/2006/relationships/hyperlink" Target="https://rm.coe.int/CoERMPublicCommonSearchServices/DisplayDCTMContent?documentId=09000016806c2e17" TargetMode="External"/><Relationship Id="rId11" Type="http://schemas.openxmlformats.org/officeDocument/2006/relationships/hyperlink" Target="mailto:neprovilnosti@mfin.hr" TargetMode="External"/><Relationship Id="rId5" Type="http://schemas.openxmlformats.org/officeDocument/2006/relationships/hyperlink" Target="https://rm.coe.int/fourth-evaluation-round-corruption-prevention-in-respect-of-members-of/1680920114" TargetMode="External"/><Relationship Id="rId15" Type="http://schemas.openxmlformats.org/officeDocument/2006/relationships/hyperlink" Target="https://vlada.gov.hr/UserDocsImages/2016/Glavno%20tajni&#353;tvo/ENG/documents%20in%20english/Code%20of%20Ethics%20for%20Civil%20Servants.pdf" TargetMode="External"/><Relationship Id="rId10" Type="http://schemas.openxmlformats.org/officeDocument/2006/relationships/hyperlink" Target="http://www.uzuvrh.hr/userfiles/file/code%20of%20practice%20on%20consultation-croatia.pdf" TargetMode="External"/><Relationship Id="rId4" Type="http://schemas.openxmlformats.org/officeDocument/2006/relationships/hyperlink" Target="https://rm.coe.int/CoERMPublicCommonSearchServices/DisplayDCTMContent?documentId=09000016806c2e17" TargetMode="External"/><Relationship Id="rId9" Type="http://schemas.openxmlformats.org/officeDocument/2006/relationships/hyperlink" Target="https://www.opengovpartnership.org/wp-content/uploads/2019/02/Croatia_Action-Plan_2018-2020_EN.pdf" TargetMode="External"/><Relationship Id="rId14" Type="http://schemas.openxmlformats.org/officeDocument/2006/relationships/hyperlink" Target="https://www.fes-croatia.org/fileadmin/user_upload/FES_JS_KROATIEN_EN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CoeHudocSection Guid="{9D95F2F2-293B-4393-A867-4939DEC853EB}">
  <Id/>
  <SectionTitle>III.CONTEXT </SectionTitle>
  <ContextSectionTitle/>
  <SectionPage>3/6</SectionPage>
</CoeHudocSection>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CoeHudocSection Guid="{25960F0C-206A-45BC-8B40-F5E432FCDD2D}">
  <Id/>
  <SectionTitle>IV. CORRUPTION PREVENTION IN CENTRAL GOVERNMENTS (TOP EXECUTIVE FUNCTIONS)</SectionTitle>
  <SectionPage>4/6</SectionPage>
  <ContextSectionTitle/>
</CoeHudocSection>
</file>

<file path=customXml/item3.xml><?xml version="1.0" encoding="utf-8"?>
<ct:contentTypeSchema xmlns:ct="http://schemas.microsoft.com/office/2006/metadata/contentType" xmlns:ma="http://schemas.microsoft.com/office/2006/metadata/properties/metaAttributes" ct:_="" ma:_="" ma:contentTypeName="Document" ma:contentTypeID="0x0101005F75C7D576DBCC488E7DBAFF47A5B850" ma:contentTypeVersion="0" ma:contentTypeDescription="Create a new document." ma:contentTypeScope="" ma:versionID="f7ef94d6d5983aa8bf4b2bd5b276c3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oeHudocSection Guid="{8CAF83AE-0876-4F7D-BECB-DBE37545C754}">
  <Id/>
  <SectionTitle>I.EXECUTIVE SUMMARY</SectionTitle>
  <ContextSectionTitle/>
  <SectionPage>1/6</SectionPage>
</CoeHudocSection>
</file>

<file path=customXml/item6.xml><?xml version="1.0" encoding="utf-8"?>
<CoeHudocSection Guid="{B1D8A46C-BF65-4402-8DAD-63A714A86FB3}">
  <Id/>
  <SectionTitle>V.CORRUPTION PREVENTION IN LAW ENFORCEMENT AGENCIES</SectionTitle>
  <SectionPage>5/6</SectionPage>
  <ContextSectionTitle/>
</CoeHudocSection>
</file>

<file path=customXml/item7.xml><?xml version="1.0" encoding="utf-8"?>
<CoeHudocDocument>
  <Author>GRECO</Author>
  <DocumentTitle>FIFTH EVALUATION ROUND Preventing corruption and promoting integrity in central governments (top executive functions) and law enforcement agencies EVALUATION REPORT FINLAND</DocumentTitle>
  <ShortTitle>5th Round evaluation report Finland</ShortTitle>
  <DocumentStatus>public</DocumentStatus>
  <AdoptionDate>2018-03-23</AdoptionDate>
  <PublicationDate>2018-03-27</PublicationDate>
  <State>FIN</State>
  <Round>5</Round>
  <DocumentType>ER</DocumentType>
  <Language>en</Language>
  <Identifier>FIN-ER-5--en</Identifier>
</CoeHudocDocument>
</file>

<file path=customXml/item8.xml><?xml version="1.0" encoding="utf-8"?>
<CoeHudocSection Guid="{CE7F891E-0809-4F21-A7AC-57AF28DAAA24}">
  <Id/>
  <SectionTitle>VI.RECOMMENDATIONS AND FOLLOW-UP</SectionTitle>
  <SectionPage>6/6</SectionPage>
  <ContextSectionTitle/>
</CoeHudocSection>
</file>

<file path=customXml/item9.xml><?xml version="1.0" encoding="utf-8"?>
<CoeHudocSection Guid="{A7E03340-39A3-4F97-94A6-9EAF6A7B49BB}">
  <Id/>
  <SectionTitle>II.INTRODUCTION AND METHODOLOGY</SectionTitle>
  <ContextSectionTitle/>
  <SectionPage>2/6</SectionPage>
</CoeHudocSection>
</file>

<file path=customXml/itemProps1.xml><?xml version="1.0" encoding="utf-8"?>
<ds:datastoreItem xmlns:ds="http://schemas.openxmlformats.org/officeDocument/2006/customXml" ds:itemID="{CB833F82-7565-4231-8B63-A91F76ADCF1F}">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9D95F2F2-293B-4393-A867-4939DEC853EB}">
  <ds:schemaRefs/>
</ds:datastoreItem>
</file>

<file path=customXml/itemProps11.xml><?xml version="1.0" encoding="utf-8"?>
<ds:datastoreItem xmlns:ds="http://schemas.openxmlformats.org/officeDocument/2006/customXml" ds:itemID="{999AD059-C452-4B48-B073-3C26087FAEBF}">
  <ds:schemaRefs>
    <ds:schemaRef ds:uri="http://schemas.openxmlformats.org/officeDocument/2006/bibliography"/>
  </ds:schemaRefs>
</ds:datastoreItem>
</file>

<file path=customXml/itemProps2.xml><?xml version="1.0" encoding="utf-8"?>
<ds:datastoreItem xmlns:ds="http://schemas.openxmlformats.org/officeDocument/2006/customXml" ds:itemID="{25960F0C-206A-45BC-8B40-F5E432FCDD2D}">
  <ds:schemaRefs/>
</ds:datastoreItem>
</file>

<file path=customXml/itemProps3.xml><?xml version="1.0" encoding="utf-8"?>
<ds:datastoreItem xmlns:ds="http://schemas.openxmlformats.org/officeDocument/2006/customXml" ds:itemID="{01A000D0-CC8D-464A-B42C-487E2C35F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2B4EF6-BFCC-4255-9E8E-EA3F20443DA3}">
  <ds:schemaRefs>
    <ds:schemaRef ds:uri="http://schemas.microsoft.com/sharepoint/v3/contenttype/forms"/>
  </ds:schemaRefs>
</ds:datastoreItem>
</file>

<file path=customXml/itemProps5.xml><?xml version="1.0" encoding="utf-8"?>
<ds:datastoreItem xmlns:ds="http://schemas.openxmlformats.org/officeDocument/2006/customXml" ds:itemID="{8CAF83AE-0876-4F7D-BECB-DBE37545C754}">
  <ds:schemaRefs/>
</ds:datastoreItem>
</file>

<file path=customXml/itemProps6.xml><?xml version="1.0" encoding="utf-8"?>
<ds:datastoreItem xmlns:ds="http://schemas.openxmlformats.org/officeDocument/2006/customXml" ds:itemID="{B1D8A46C-BF65-4402-8DAD-63A714A86FB3}">
  <ds:schemaRefs/>
</ds:datastoreItem>
</file>

<file path=customXml/itemProps7.xml><?xml version="1.0" encoding="utf-8"?>
<ds:datastoreItem xmlns:ds="http://schemas.openxmlformats.org/officeDocument/2006/customXml" ds:itemID="{9A6538F5-C451-4D96-AD7C-8D543CC28B8B}">
  <ds:schemaRefs/>
</ds:datastoreItem>
</file>

<file path=customXml/itemProps8.xml><?xml version="1.0" encoding="utf-8"?>
<ds:datastoreItem xmlns:ds="http://schemas.openxmlformats.org/officeDocument/2006/customXml" ds:itemID="{CE7F891E-0809-4F21-A7AC-57AF28DAAA24}">
  <ds:schemaRefs/>
</ds:datastoreItem>
</file>

<file path=customXml/itemProps9.xml><?xml version="1.0" encoding="utf-8"?>
<ds:datastoreItem xmlns:ds="http://schemas.openxmlformats.org/officeDocument/2006/customXml" ds:itemID="{A7E03340-39A3-4F97-94A6-9EAF6A7B49B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24845</Words>
  <Characters>141622</Characters>
  <Application>Microsoft Office Word</Application>
  <DocSecurity>0</DocSecurity>
  <Lines>1180</Lines>
  <Paragraphs>332</Paragraphs>
  <ScaleCrop>false</ScaleCrop>
  <HeadingPairs>
    <vt:vector size="6" baseType="variant">
      <vt:variant>
        <vt:lpstr>Naslov</vt:lpstr>
      </vt:variant>
      <vt:variant>
        <vt:i4>1</vt:i4>
      </vt:variant>
      <vt:variant>
        <vt:lpstr>Title</vt:lpstr>
      </vt:variant>
      <vt:variant>
        <vt:i4>1</vt:i4>
      </vt:variant>
      <vt:variant>
        <vt:lpstr>Título</vt:lpstr>
      </vt:variant>
      <vt:variant>
        <vt:i4>1</vt:i4>
      </vt:variant>
    </vt:vector>
  </HeadingPairs>
  <TitlesOfParts>
    <vt:vector size="3" baseType="lpstr">
      <vt:lpstr>Fifth Round Evaluation</vt:lpstr>
      <vt:lpstr>Fifth Round Evaluation</vt:lpstr>
      <vt:lpstr/>
    </vt:vector>
  </TitlesOfParts>
  <Company>Council of Europe</Company>
  <LinksUpToDate>false</LinksUpToDate>
  <CharactersWithSpaces>166135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Round Evaluation</dc:title>
  <dc:subject>Croatia</dc:subject>
  <dc:creator>GRECO</dc:creator>
  <cp:keywords>GRECO</cp:keywords>
  <cp:lastModifiedBy>Marija Grbin Živković</cp:lastModifiedBy>
  <cp:revision>3</cp:revision>
  <cp:lastPrinted>2019-11-21T08:10:00Z</cp:lastPrinted>
  <dcterms:created xsi:type="dcterms:W3CDTF">2020-05-12T08:02:00Z</dcterms:created>
  <dcterms:modified xsi:type="dcterms:W3CDTF">2020-05-12T08:02:00Z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0x0101005F75C7D576DBCC488E7DBAFF47A5B850</vt:lpwstr>
  </property>
</Properties>
</file>