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1485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850"/>
      </w:tblGrid>
      <w:tr w:rsidR="00780B71" w:rsidRPr="000C6236" w:rsidTr="0018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tcBorders>
              <w:bottom w:val="single" w:sz="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3F3E97" w:rsidRPr="000C6236" w:rsidRDefault="003F3E97" w:rsidP="00750DEC"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C6236">
              <w:rPr>
                <w:color w:val="auto"/>
                <w:sz w:val="24"/>
                <w:szCs w:val="24"/>
              </w:rPr>
              <w:t>SAVJETOVANJE SA ZAINTERESIRANOM JAVNOŠĆU</w:t>
            </w:r>
          </w:p>
        </w:tc>
      </w:tr>
      <w:tr w:rsidR="003F3E97" w:rsidRPr="000C6236" w:rsidTr="0018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shd w:val="clear" w:color="auto" w:fill="auto"/>
            <w:vAlign w:val="center"/>
          </w:tcPr>
          <w:p w:rsidR="003F3E97" w:rsidRPr="000C6236" w:rsidRDefault="00750DEC" w:rsidP="00212656">
            <w:pPr>
              <w:jc w:val="center"/>
              <w:rPr>
                <w:i/>
                <w:sz w:val="24"/>
                <w:szCs w:val="24"/>
              </w:rPr>
            </w:pPr>
            <w:r w:rsidRPr="000C6236">
              <w:rPr>
                <w:i/>
                <w:sz w:val="24"/>
                <w:szCs w:val="24"/>
              </w:rPr>
              <w:t xml:space="preserve">Nacrt </w:t>
            </w:r>
            <w:r w:rsidR="00212656">
              <w:rPr>
                <w:i/>
                <w:sz w:val="24"/>
                <w:szCs w:val="24"/>
              </w:rPr>
              <w:t>Pravilnika o naknadama za dežurstva sudaca, državnih odvjetnika i zamjenika državnih odvjetnika</w:t>
            </w:r>
          </w:p>
        </w:tc>
      </w:tr>
      <w:tr w:rsidR="003F3E97" w:rsidRPr="000C6236" w:rsidTr="00183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vAlign w:val="center"/>
          </w:tcPr>
          <w:p w:rsidR="003F3E97" w:rsidRPr="009D3662" w:rsidRDefault="003F3E97" w:rsidP="0068619F">
            <w:pPr>
              <w:jc w:val="both"/>
              <w:rPr>
                <w:b w:val="0"/>
              </w:rPr>
            </w:pPr>
            <w:r w:rsidRPr="009D3662">
              <w:rPr>
                <w:b w:val="0"/>
              </w:rPr>
              <w:t xml:space="preserve">Ministarstvo pravosuđa objavljuje objedinjene primjedbe </w:t>
            </w:r>
            <w:r w:rsidR="000A716F">
              <w:rPr>
                <w:b w:val="0"/>
              </w:rPr>
              <w:t xml:space="preserve">i prijedloge </w:t>
            </w:r>
            <w:r w:rsidR="000A716F" w:rsidRPr="009D3662">
              <w:rPr>
                <w:b w:val="0"/>
              </w:rPr>
              <w:t xml:space="preserve">na Nacrt Pravilnika o naknadama za dežurstva sudaca, državnih odvjetnika i zamjenika državnih odvjetnika </w:t>
            </w:r>
            <w:r w:rsidRPr="009D3662">
              <w:rPr>
                <w:b w:val="0"/>
              </w:rPr>
              <w:t xml:space="preserve">zaprimljene od strane predstavnika zainteresirane javnosti koji su dostavili putem održanog internetskog javnog savjetovanja provedenog u razdoblju od </w:t>
            </w:r>
            <w:r w:rsidR="0068619F">
              <w:rPr>
                <w:b w:val="0"/>
              </w:rPr>
              <w:t>19. siječnja</w:t>
            </w:r>
            <w:r w:rsidR="006E0F6F" w:rsidRPr="009D3662">
              <w:rPr>
                <w:b w:val="0"/>
              </w:rPr>
              <w:t xml:space="preserve"> do </w:t>
            </w:r>
            <w:r w:rsidR="00212656" w:rsidRPr="009D3662">
              <w:rPr>
                <w:b w:val="0"/>
              </w:rPr>
              <w:t>18. veljače</w:t>
            </w:r>
            <w:r w:rsidR="00C6769A" w:rsidRPr="009D3662">
              <w:rPr>
                <w:b w:val="0"/>
              </w:rPr>
              <w:t xml:space="preserve"> </w:t>
            </w:r>
            <w:r w:rsidR="00750DEC" w:rsidRPr="009D3662">
              <w:rPr>
                <w:b w:val="0"/>
              </w:rPr>
              <w:t>201</w:t>
            </w:r>
            <w:r w:rsidR="00212656" w:rsidRPr="009D3662">
              <w:rPr>
                <w:b w:val="0"/>
              </w:rPr>
              <w:t>5</w:t>
            </w:r>
            <w:r w:rsidR="00750DEC" w:rsidRPr="009D3662">
              <w:rPr>
                <w:b w:val="0"/>
              </w:rPr>
              <w:t xml:space="preserve">. godine </w:t>
            </w:r>
            <w:r w:rsidRPr="009D3662">
              <w:rPr>
                <w:b w:val="0"/>
              </w:rPr>
              <w:t xml:space="preserve"> te očitovanja o p</w:t>
            </w:r>
            <w:r w:rsidR="00667E9F" w:rsidRPr="009D3662">
              <w:rPr>
                <w:b w:val="0"/>
              </w:rPr>
              <w:t>rihvaćanju/neprihvaćanju istih.</w:t>
            </w:r>
          </w:p>
        </w:tc>
      </w:tr>
    </w:tbl>
    <w:p w:rsidR="007C0F3F" w:rsidRDefault="007C0F3F"/>
    <w:tbl>
      <w:tblPr>
        <w:tblStyle w:val="Reetkatablice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48"/>
        <w:gridCol w:w="2508"/>
        <w:gridCol w:w="2212"/>
        <w:gridCol w:w="4421"/>
        <w:gridCol w:w="4797"/>
      </w:tblGrid>
      <w:tr w:rsidR="00515C59" w:rsidRPr="000C6236" w:rsidTr="000D46B5">
        <w:tc>
          <w:tcPr>
            <w:tcW w:w="287" w:type="pct"/>
            <w:shd w:val="clear" w:color="auto" w:fill="DBE5F1" w:themeFill="accent1" w:themeFillTint="33"/>
            <w:vAlign w:val="center"/>
          </w:tcPr>
          <w:p w:rsidR="003F3E97" w:rsidRPr="00BF2146" w:rsidRDefault="003F3E97" w:rsidP="00D85FEF">
            <w:pPr>
              <w:jc w:val="center"/>
              <w:rPr>
                <w:rFonts w:cstheme="minorHAnsi"/>
                <w:b/>
              </w:rPr>
            </w:pPr>
            <w:r w:rsidRPr="00BF2146">
              <w:rPr>
                <w:rFonts w:cstheme="minorHAnsi"/>
                <w:b/>
              </w:rPr>
              <w:t>Redni broj</w:t>
            </w:r>
          </w:p>
        </w:tc>
        <w:tc>
          <w:tcPr>
            <w:tcW w:w="848" w:type="pct"/>
            <w:shd w:val="clear" w:color="auto" w:fill="DBE5F1" w:themeFill="accent1" w:themeFillTint="33"/>
            <w:vAlign w:val="center"/>
          </w:tcPr>
          <w:p w:rsidR="003F3E97" w:rsidRPr="00BF2146" w:rsidRDefault="003F3E97" w:rsidP="00D85FEF">
            <w:pPr>
              <w:jc w:val="center"/>
              <w:rPr>
                <w:rFonts w:cstheme="minorHAnsi"/>
                <w:b/>
              </w:rPr>
            </w:pPr>
            <w:r w:rsidRPr="00BF2146">
              <w:rPr>
                <w:rFonts w:cstheme="minorHAnsi"/>
                <w:b/>
              </w:rPr>
              <w:t>Naziv dionika (pojedinac, organizacija, institucija)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3F3E97" w:rsidRPr="00BF2146" w:rsidRDefault="003F3E97" w:rsidP="00BB2F6E">
            <w:pPr>
              <w:jc w:val="center"/>
              <w:rPr>
                <w:rFonts w:cstheme="minorHAnsi"/>
                <w:b/>
              </w:rPr>
            </w:pPr>
            <w:r w:rsidRPr="00BF2146">
              <w:rPr>
                <w:rFonts w:cstheme="minorHAnsi"/>
                <w:b/>
              </w:rPr>
              <w:t>Članak na koji se odnosi primjedba/prijedlog</w:t>
            </w:r>
          </w:p>
        </w:tc>
        <w:tc>
          <w:tcPr>
            <w:tcW w:w="1495" w:type="pct"/>
            <w:shd w:val="clear" w:color="auto" w:fill="DBE5F1" w:themeFill="accent1" w:themeFillTint="33"/>
            <w:vAlign w:val="center"/>
          </w:tcPr>
          <w:p w:rsidR="003F3E97" w:rsidRPr="00BF2146" w:rsidRDefault="003F3E97" w:rsidP="00D85FEF">
            <w:pPr>
              <w:jc w:val="center"/>
              <w:rPr>
                <w:rFonts w:cstheme="minorHAnsi"/>
                <w:b/>
              </w:rPr>
            </w:pPr>
            <w:r w:rsidRPr="00BF2146">
              <w:rPr>
                <w:rFonts w:cstheme="minorHAnsi"/>
                <w:b/>
              </w:rPr>
              <w:t>Tekst primjedbe/prijedloga</w:t>
            </w:r>
          </w:p>
        </w:tc>
        <w:tc>
          <w:tcPr>
            <w:tcW w:w="1622" w:type="pct"/>
            <w:shd w:val="clear" w:color="auto" w:fill="DBE5F1" w:themeFill="accent1" w:themeFillTint="33"/>
            <w:vAlign w:val="center"/>
          </w:tcPr>
          <w:p w:rsidR="003F3E97" w:rsidRPr="00BF2146" w:rsidRDefault="003F3E97" w:rsidP="00D85FEF">
            <w:pPr>
              <w:jc w:val="center"/>
              <w:rPr>
                <w:rFonts w:cstheme="minorHAnsi"/>
                <w:b/>
              </w:rPr>
            </w:pPr>
            <w:r w:rsidRPr="00BF2146">
              <w:rPr>
                <w:rFonts w:cstheme="minorHAnsi"/>
                <w:b/>
              </w:rPr>
              <w:t>Razlog prihvaćanja/neprihvaćanja prijedloga ili primjedbe</w:t>
            </w:r>
          </w:p>
        </w:tc>
      </w:tr>
      <w:tr w:rsidR="006E0F6F" w:rsidRPr="000C6236" w:rsidTr="000D46B5">
        <w:trPr>
          <w:trHeight w:val="1308"/>
        </w:trPr>
        <w:tc>
          <w:tcPr>
            <w:tcW w:w="287" w:type="pct"/>
            <w:vMerge w:val="restart"/>
            <w:vAlign w:val="center"/>
          </w:tcPr>
          <w:p w:rsidR="006E0F6F" w:rsidRPr="006C44B6" w:rsidRDefault="006E0F6F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1.</w:t>
            </w:r>
          </w:p>
        </w:tc>
        <w:tc>
          <w:tcPr>
            <w:tcW w:w="848" w:type="pct"/>
            <w:vMerge w:val="restart"/>
            <w:vAlign w:val="center"/>
          </w:tcPr>
          <w:p w:rsidR="006E0F6F" w:rsidRPr="006C44B6" w:rsidRDefault="00212656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Državno odvjetništvo Republike Hrvatske</w:t>
            </w:r>
          </w:p>
        </w:tc>
        <w:tc>
          <w:tcPr>
            <w:tcW w:w="748" w:type="pct"/>
            <w:vAlign w:val="center"/>
          </w:tcPr>
          <w:p w:rsidR="006E0F6F" w:rsidRDefault="00212656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6E0F6F">
              <w:rPr>
                <w:rFonts w:cstheme="minorHAnsi"/>
              </w:rPr>
              <w:t xml:space="preserve">l. </w:t>
            </w:r>
            <w:r>
              <w:rPr>
                <w:rFonts w:cstheme="minorHAnsi"/>
              </w:rPr>
              <w:t>1</w:t>
            </w:r>
            <w:r w:rsidR="006E0F6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st. 3. Nacrta Pravilnika</w:t>
            </w:r>
          </w:p>
          <w:p w:rsidR="00851FE7" w:rsidRPr="000C6236" w:rsidRDefault="00851FE7" w:rsidP="00501A82">
            <w:pPr>
              <w:rPr>
                <w:rFonts w:cstheme="minorHAnsi"/>
              </w:rPr>
            </w:pPr>
          </w:p>
        </w:tc>
        <w:tc>
          <w:tcPr>
            <w:tcW w:w="1495" w:type="pct"/>
            <w:vAlign w:val="center"/>
          </w:tcPr>
          <w:p w:rsidR="006E0F6F" w:rsidRDefault="006E0F6F" w:rsidP="00B718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se </w:t>
            </w:r>
            <w:r w:rsidR="000D46B5">
              <w:rPr>
                <w:rFonts w:cstheme="minorHAnsi"/>
              </w:rPr>
              <w:t>pasivno dežurstvo propisati</w:t>
            </w:r>
            <w:r w:rsidR="00212656">
              <w:rPr>
                <w:rFonts w:cstheme="minorHAnsi"/>
              </w:rPr>
              <w:t xml:space="preserve"> kao obvezatn</w:t>
            </w:r>
            <w:r w:rsidR="000D46B5">
              <w:rPr>
                <w:rFonts w:cstheme="minorHAnsi"/>
              </w:rPr>
              <w:t>u</w:t>
            </w:r>
            <w:r w:rsidR="00212656">
              <w:rPr>
                <w:rFonts w:cstheme="minorHAnsi"/>
              </w:rPr>
              <w:t xml:space="preserve"> nazočnost suca, državnog odvjetnika ili njegova zamjenika na području nadležnosti suda odnosno državnog odvjetništva</w:t>
            </w:r>
            <w:r w:rsidR="00DA29ED">
              <w:rPr>
                <w:rFonts w:cstheme="minorHAnsi"/>
              </w:rPr>
              <w:t xml:space="preserve"> jer mnogi pravosudni dužnosnici ne stanjuju u mjestu sjedišta suda odnosno državnog odvjetništva pa stoga ne bi mogli pasivno dežurati.</w:t>
            </w:r>
          </w:p>
          <w:p w:rsidR="006E0F6F" w:rsidRPr="000C6236" w:rsidRDefault="006E0F6F" w:rsidP="00501A82">
            <w:pPr>
              <w:rPr>
                <w:rFonts w:cstheme="minorHAnsi"/>
              </w:rPr>
            </w:pPr>
          </w:p>
        </w:tc>
        <w:tc>
          <w:tcPr>
            <w:tcW w:w="1622" w:type="pct"/>
          </w:tcPr>
          <w:p w:rsidR="006E0F6F" w:rsidRDefault="006E0F6F" w:rsidP="00D85FEF">
            <w:pPr>
              <w:rPr>
                <w:rFonts w:cstheme="minorHAnsi"/>
                <w:b/>
              </w:rPr>
            </w:pPr>
            <w:r w:rsidRPr="00B25A7F">
              <w:rPr>
                <w:rFonts w:cstheme="minorHAnsi"/>
                <w:b/>
              </w:rPr>
              <w:t>Prijedlog se ne prihvaća</w:t>
            </w:r>
            <w:r w:rsidR="00B718B2" w:rsidRPr="00B25A7F">
              <w:rPr>
                <w:rFonts w:cstheme="minorHAnsi"/>
                <w:b/>
              </w:rPr>
              <w:t>.</w:t>
            </w:r>
          </w:p>
          <w:p w:rsidR="00B718B2" w:rsidRPr="00B25A7F" w:rsidRDefault="00625E9D" w:rsidP="001D5F62">
            <w:pPr>
              <w:jc w:val="both"/>
            </w:pPr>
            <w:r>
              <w:t>Pr</w:t>
            </w:r>
            <w:r w:rsidR="008D73D4">
              <w:t xml:space="preserve">ijedlog </w:t>
            </w:r>
            <w:r>
              <w:t xml:space="preserve">nije predmet ovog Pravilnika. </w:t>
            </w:r>
            <w:r w:rsidR="00903396">
              <w:t>S</w:t>
            </w:r>
            <w:r w:rsidR="00903396" w:rsidRPr="00903396">
              <w:t>u</w:t>
            </w:r>
            <w:r w:rsidR="00903396">
              <w:t>d</w:t>
            </w:r>
            <w:r w:rsidR="00903396" w:rsidRPr="00903396">
              <w:t>ski</w:t>
            </w:r>
            <w:r w:rsidR="00903396">
              <w:t>m</w:t>
            </w:r>
            <w:r w:rsidR="00903396" w:rsidRPr="00903396">
              <w:t xml:space="preserve"> poslovnik</w:t>
            </w:r>
            <w:r w:rsidR="001266A8">
              <w:t>om</w:t>
            </w:r>
            <w:r w:rsidR="008D73D4">
              <w:t xml:space="preserve"> („Narodne novine“, broj 37/14, 49/14, 8/15) </w:t>
            </w:r>
            <w:r w:rsidR="001266A8">
              <w:t>i Poslovnikom državnog odvjetništva</w:t>
            </w:r>
            <w:r w:rsidR="008D73D4">
              <w:t xml:space="preserve"> („Narodne novine, broj 5/14) </w:t>
            </w:r>
            <w:r w:rsidR="006C44B6">
              <w:t>propis</w:t>
            </w:r>
            <w:r w:rsidR="001266A8">
              <w:t xml:space="preserve">ano je </w:t>
            </w:r>
            <w:r>
              <w:t xml:space="preserve">na koji način se organizira dežurstvo u sudu i državnom odvjetništvu. </w:t>
            </w:r>
            <w:r w:rsidR="00C750B5">
              <w:t>V</w:t>
            </w:r>
            <w:r>
              <w:t xml:space="preserve">ažećim Sudskim poslovnikom i Poslovnikom državnog odvjetništva propisano </w:t>
            </w:r>
            <w:r w:rsidR="008D73D4">
              <w:t xml:space="preserve">je </w:t>
            </w:r>
            <w:r w:rsidR="001266A8">
              <w:t>da</w:t>
            </w:r>
            <w:r w:rsidR="006C44B6">
              <w:t xml:space="preserve"> se </w:t>
            </w:r>
            <w:r w:rsidR="001266A8">
              <w:t xml:space="preserve">izvan redovnog radnog vremena, u dane tjednog odmora, neradne dane i državne blagdane </w:t>
            </w:r>
            <w:r w:rsidR="006C44B6">
              <w:t>obavljanje službenih radnji koje ne trpe odgodu osigurava obveznom nazočnošću u mjestu sjedišta suda odnosno državnog odvjetništva. Nacrtom Pravilnika</w:t>
            </w:r>
            <w:r w:rsidR="001266A8">
              <w:t xml:space="preserve"> ponavlja se ov</w:t>
            </w:r>
            <w:r w:rsidR="004C1A0B">
              <w:t>a</w:t>
            </w:r>
            <w:r w:rsidR="001266A8">
              <w:t xml:space="preserve"> odredb</w:t>
            </w:r>
            <w:r w:rsidR="004C1A0B">
              <w:t>a</w:t>
            </w:r>
            <w:r w:rsidR="001266A8">
              <w:t xml:space="preserve"> poslovnika</w:t>
            </w:r>
            <w:r w:rsidR="006C44B6">
              <w:t xml:space="preserve"> u svrhu specificiranja </w:t>
            </w:r>
            <w:r w:rsidR="001D5F62">
              <w:t xml:space="preserve">visine </w:t>
            </w:r>
            <w:r w:rsidR="006C44B6">
              <w:t>naknad</w:t>
            </w:r>
            <w:r w:rsidR="002B5736">
              <w:t>a za dežurstvo</w:t>
            </w:r>
            <w:r w:rsidR="006C44B6">
              <w:t xml:space="preserve">. </w:t>
            </w:r>
          </w:p>
        </w:tc>
      </w:tr>
      <w:tr w:rsidR="006E0F6F" w:rsidRPr="000C6236" w:rsidTr="000D46B5">
        <w:trPr>
          <w:trHeight w:val="1305"/>
        </w:trPr>
        <w:tc>
          <w:tcPr>
            <w:tcW w:w="287" w:type="pct"/>
            <w:vMerge/>
            <w:vAlign w:val="center"/>
          </w:tcPr>
          <w:p w:rsidR="006E0F6F" w:rsidRPr="000C6236" w:rsidRDefault="006E0F6F" w:rsidP="00501A82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6E0F6F" w:rsidRDefault="006E0F6F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851FE7" w:rsidRPr="000C6236" w:rsidRDefault="009E6D28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B718B2">
              <w:rPr>
                <w:rFonts w:cstheme="minorHAnsi"/>
              </w:rPr>
              <w:t xml:space="preserve">l. </w:t>
            </w:r>
            <w:r>
              <w:rPr>
                <w:rFonts w:cstheme="minorHAnsi"/>
              </w:rPr>
              <w:t>3. Nacrta Pravilnika</w:t>
            </w:r>
          </w:p>
        </w:tc>
        <w:tc>
          <w:tcPr>
            <w:tcW w:w="1495" w:type="pct"/>
            <w:vAlign w:val="center"/>
          </w:tcPr>
          <w:p w:rsidR="0006012A" w:rsidRPr="000C6236" w:rsidRDefault="00B718B2" w:rsidP="006B671E">
            <w:pPr>
              <w:jc w:val="both"/>
              <w:rPr>
                <w:rFonts w:cstheme="minorHAnsi"/>
              </w:rPr>
            </w:pPr>
            <w:r w:rsidRPr="000644C6">
              <w:rPr>
                <w:rFonts w:cstheme="minorHAnsi"/>
              </w:rPr>
              <w:t xml:space="preserve">Predlaže </w:t>
            </w:r>
            <w:r w:rsidR="0006012A" w:rsidRPr="000644C6">
              <w:rPr>
                <w:rFonts w:cstheme="minorHAnsi"/>
              </w:rPr>
              <w:t xml:space="preserve">se </w:t>
            </w:r>
            <w:r w:rsidR="0071405E" w:rsidRPr="000644C6">
              <w:rPr>
                <w:rFonts w:cstheme="minorHAnsi"/>
              </w:rPr>
              <w:t xml:space="preserve">povećati </w:t>
            </w:r>
            <w:r w:rsidR="006B671E" w:rsidRPr="000644C6">
              <w:rPr>
                <w:rFonts w:cstheme="minorHAnsi"/>
              </w:rPr>
              <w:t xml:space="preserve">iznos </w:t>
            </w:r>
            <w:r w:rsidR="0071405E" w:rsidRPr="000644C6">
              <w:rPr>
                <w:rFonts w:cstheme="minorHAnsi"/>
              </w:rPr>
              <w:t>naknad</w:t>
            </w:r>
            <w:r w:rsidR="006B671E" w:rsidRPr="000644C6">
              <w:rPr>
                <w:rFonts w:cstheme="minorHAnsi"/>
              </w:rPr>
              <w:t>a za dežurstvo.</w:t>
            </w:r>
            <w:r w:rsidR="006B671E">
              <w:rPr>
                <w:rFonts w:cstheme="minorHAnsi"/>
              </w:rPr>
              <w:t xml:space="preserve"> </w:t>
            </w:r>
            <w:r w:rsidR="0006012A">
              <w:rPr>
                <w:rFonts w:cstheme="minorHAnsi"/>
              </w:rPr>
              <w:t>Posebno se predlaže povećati  naknad</w:t>
            </w:r>
            <w:r w:rsidR="006B671E">
              <w:rPr>
                <w:rFonts w:cstheme="minorHAnsi"/>
              </w:rPr>
              <w:t>u</w:t>
            </w:r>
            <w:r w:rsidR="0006012A">
              <w:rPr>
                <w:rFonts w:cstheme="minorHAnsi"/>
              </w:rPr>
              <w:t xml:space="preserve"> za pasivno dežurstvo </w:t>
            </w:r>
            <w:r w:rsidR="006C44B6">
              <w:rPr>
                <w:rFonts w:cstheme="minorHAnsi"/>
              </w:rPr>
              <w:t xml:space="preserve">jer iznos </w:t>
            </w:r>
            <w:r w:rsidR="006B671E">
              <w:rPr>
                <w:rFonts w:cstheme="minorHAnsi"/>
              </w:rPr>
              <w:t xml:space="preserve">koji se predlaže propisati za pasivno dežurstvo Nacrtom Pravilnika </w:t>
            </w:r>
            <w:r w:rsidR="006C44B6">
              <w:rPr>
                <w:rFonts w:cstheme="minorHAnsi"/>
              </w:rPr>
              <w:t>ne uvažava činjenic</w:t>
            </w:r>
            <w:r w:rsidR="006B671E">
              <w:rPr>
                <w:rFonts w:cstheme="minorHAnsi"/>
              </w:rPr>
              <w:t>u</w:t>
            </w:r>
            <w:r w:rsidR="006C44B6">
              <w:rPr>
                <w:rFonts w:cstheme="minorHAnsi"/>
              </w:rPr>
              <w:t xml:space="preserve"> </w:t>
            </w:r>
            <w:r w:rsidR="0006012A">
              <w:rPr>
                <w:rFonts w:cstheme="minorHAnsi"/>
              </w:rPr>
              <w:t>da državni odvjetnik tijekom pasivnog dežurstva prima telefonske obavijesti od policije, daje</w:t>
            </w:r>
            <w:r w:rsidR="006C44B6">
              <w:rPr>
                <w:rFonts w:cstheme="minorHAnsi"/>
              </w:rPr>
              <w:t xml:space="preserve"> policiji</w:t>
            </w:r>
            <w:r w:rsidR="0006012A">
              <w:rPr>
                <w:rFonts w:cstheme="minorHAnsi"/>
              </w:rPr>
              <w:t xml:space="preserve"> usmene obavijesti, daje </w:t>
            </w:r>
            <w:r w:rsidR="0071405E">
              <w:rPr>
                <w:rFonts w:cstheme="minorHAnsi"/>
              </w:rPr>
              <w:t xml:space="preserve">policiji </w:t>
            </w:r>
            <w:r w:rsidR="0006012A">
              <w:rPr>
                <w:rFonts w:cstheme="minorHAnsi"/>
              </w:rPr>
              <w:t xml:space="preserve">usmene </w:t>
            </w:r>
            <w:r w:rsidR="0006012A">
              <w:rPr>
                <w:rFonts w:cstheme="minorHAnsi"/>
              </w:rPr>
              <w:lastRenderedPageBreak/>
              <w:t>naloge i sl.</w:t>
            </w:r>
          </w:p>
        </w:tc>
        <w:tc>
          <w:tcPr>
            <w:tcW w:w="1622" w:type="pct"/>
          </w:tcPr>
          <w:p w:rsidR="0006012A" w:rsidRPr="001D5F62" w:rsidRDefault="00B718B2" w:rsidP="00AB4721">
            <w:pPr>
              <w:jc w:val="both"/>
              <w:rPr>
                <w:rFonts w:cstheme="minorHAnsi"/>
              </w:rPr>
            </w:pPr>
            <w:r w:rsidRPr="00B718B2">
              <w:rPr>
                <w:rFonts w:cstheme="minorHAnsi"/>
                <w:b/>
              </w:rPr>
              <w:lastRenderedPageBreak/>
              <w:t>Pri</w:t>
            </w:r>
            <w:r w:rsidR="006037F5">
              <w:rPr>
                <w:rFonts w:cstheme="minorHAnsi"/>
                <w:b/>
              </w:rPr>
              <w:t xml:space="preserve">jedlog se </w:t>
            </w:r>
            <w:r w:rsidRPr="00B718B2">
              <w:rPr>
                <w:rFonts w:cstheme="minorHAnsi"/>
                <w:b/>
              </w:rPr>
              <w:t>prihvaća</w:t>
            </w:r>
            <w:r w:rsidR="001D5F62">
              <w:rPr>
                <w:rFonts w:cstheme="minorHAnsi"/>
                <w:b/>
              </w:rPr>
              <w:t xml:space="preserve"> </w:t>
            </w:r>
            <w:r w:rsidR="001D5F62" w:rsidRPr="001D5F62">
              <w:rPr>
                <w:rFonts w:cstheme="minorHAnsi"/>
              </w:rPr>
              <w:t xml:space="preserve">te </w:t>
            </w:r>
            <w:r w:rsidR="00AB4721">
              <w:rPr>
                <w:rFonts w:cstheme="minorHAnsi"/>
              </w:rPr>
              <w:t xml:space="preserve">će </w:t>
            </w:r>
            <w:r w:rsidR="001D5F62" w:rsidRPr="001D5F62">
              <w:rPr>
                <w:rFonts w:cstheme="minorHAnsi"/>
              </w:rPr>
              <w:t>se naknade</w:t>
            </w:r>
            <w:r w:rsidR="008B20C2">
              <w:rPr>
                <w:rFonts w:cstheme="minorHAnsi"/>
              </w:rPr>
              <w:t xml:space="preserve"> za dežurstvo</w:t>
            </w:r>
            <w:r w:rsidR="001D5F62" w:rsidRPr="001D5F62">
              <w:rPr>
                <w:rFonts w:cstheme="minorHAnsi"/>
              </w:rPr>
              <w:t xml:space="preserve"> p</w:t>
            </w:r>
            <w:r w:rsidR="001D5F62">
              <w:rPr>
                <w:rFonts w:cstheme="minorHAnsi"/>
              </w:rPr>
              <w:t>o</w:t>
            </w:r>
            <w:r w:rsidR="001D5F62" w:rsidRPr="001D5F62">
              <w:rPr>
                <w:rFonts w:cstheme="minorHAnsi"/>
              </w:rPr>
              <w:t>veća</w:t>
            </w:r>
            <w:r w:rsidR="00AB4721">
              <w:rPr>
                <w:rFonts w:cstheme="minorHAnsi"/>
              </w:rPr>
              <w:t>ti</w:t>
            </w:r>
            <w:r w:rsidRPr="001D5F62">
              <w:rPr>
                <w:rFonts w:cstheme="minorHAnsi"/>
              </w:rPr>
              <w:t>.</w:t>
            </w:r>
          </w:p>
          <w:p w:rsidR="00F120E3" w:rsidRDefault="00AB4721" w:rsidP="00F120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Međutim, </w:t>
            </w:r>
            <w:r w:rsidRPr="000644C6">
              <w:rPr>
                <w:rFonts w:cstheme="minorHAnsi"/>
                <w:b/>
              </w:rPr>
              <w:t>n</w:t>
            </w:r>
            <w:r w:rsidR="0006012A" w:rsidRPr="000644C6">
              <w:rPr>
                <w:rFonts w:cstheme="minorHAnsi"/>
                <w:b/>
              </w:rPr>
              <w:t>ije osnovana primjedba</w:t>
            </w:r>
            <w:r w:rsidR="0006012A" w:rsidRPr="000644C6">
              <w:rPr>
                <w:rFonts w:cstheme="minorHAnsi"/>
              </w:rPr>
              <w:t xml:space="preserve"> </w:t>
            </w:r>
            <w:r w:rsidR="0006012A">
              <w:rPr>
                <w:rFonts w:cstheme="minorHAnsi"/>
              </w:rPr>
              <w:t>da Nacrtom Pravilnika nije uzet</w:t>
            </w:r>
            <w:r w:rsidR="006C44B6">
              <w:rPr>
                <w:rFonts w:cstheme="minorHAnsi"/>
              </w:rPr>
              <w:t>o</w:t>
            </w:r>
            <w:r w:rsidR="0006012A">
              <w:rPr>
                <w:rFonts w:cstheme="minorHAnsi"/>
              </w:rPr>
              <w:t xml:space="preserve"> u obzir da državni odvjetni</w:t>
            </w:r>
            <w:r w:rsidR="0087464E">
              <w:rPr>
                <w:rFonts w:cstheme="minorHAnsi"/>
              </w:rPr>
              <w:t>ci</w:t>
            </w:r>
            <w:r w:rsidR="006C44B6">
              <w:rPr>
                <w:rFonts w:cstheme="minorHAnsi"/>
              </w:rPr>
              <w:t xml:space="preserve"> tijekom dežurstva</w:t>
            </w:r>
            <w:r w:rsidR="002B5736">
              <w:rPr>
                <w:rFonts w:cstheme="minorHAnsi"/>
              </w:rPr>
              <w:t>, i kada ni</w:t>
            </w:r>
            <w:r w:rsidR="0087464E">
              <w:rPr>
                <w:rFonts w:cstheme="minorHAnsi"/>
              </w:rPr>
              <w:t>su</w:t>
            </w:r>
            <w:r w:rsidR="002B5736">
              <w:rPr>
                <w:rFonts w:cstheme="minorHAnsi"/>
              </w:rPr>
              <w:t xml:space="preserve"> u zgradi državnog odvjetništva,</w:t>
            </w:r>
            <w:r w:rsidR="00F120E3">
              <w:rPr>
                <w:rFonts w:cstheme="minorHAnsi"/>
              </w:rPr>
              <w:t xml:space="preserve"> prima</w:t>
            </w:r>
            <w:r w:rsidR="0087464E">
              <w:rPr>
                <w:rFonts w:cstheme="minorHAnsi"/>
              </w:rPr>
              <w:t>ju</w:t>
            </w:r>
            <w:r w:rsidR="00F120E3">
              <w:rPr>
                <w:rFonts w:cstheme="minorHAnsi"/>
              </w:rPr>
              <w:t xml:space="preserve"> usm</w:t>
            </w:r>
            <w:r w:rsidR="0087464E">
              <w:rPr>
                <w:rFonts w:cstheme="minorHAnsi"/>
              </w:rPr>
              <w:t>ene obavijesti od policije, daju</w:t>
            </w:r>
            <w:r w:rsidR="00F120E3">
              <w:rPr>
                <w:rFonts w:cstheme="minorHAnsi"/>
              </w:rPr>
              <w:t xml:space="preserve"> usmene obavijesti, daj</w:t>
            </w:r>
            <w:r w:rsidR="0087464E">
              <w:rPr>
                <w:rFonts w:cstheme="minorHAnsi"/>
              </w:rPr>
              <w:t>u</w:t>
            </w:r>
            <w:r w:rsidR="00F120E3">
              <w:rPr>
                <w:rFonts w:cstheme="minorHAnsi"/>
              </w:rPr>
              <w:t xml:space="preserve"> usmene naloge i sl. </w:t>
            </w:r>
          </w:p>
          <w:p w:rsidR="0006012A" w:rsidRPr="000C6236" w:rsidRDefault="006C44B6" w:rsidP="008B20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="0006012A" w:rsidRPr="00670B93">
              <w:rPr>
                <w:rFonts w:cstheme="minorHAnsi"/>
              </w:rPr>
              <w:t>pravo suprotno</w:t>
            </w:r>
            <w:r w:rsidR="00625E9D">
              <w:rPr>
                <w:rFonts w:cstheme="minorHAnsi"/>
              </w:rPr>
              <w:t xml:space="preserve"> p</w:t>
            </w:r>
            <w:r w:rsidR="0006012A" w:rsidRPr="00670B93">
              <w:rPr>
                <w:rFonts w:cstheme="minorHAnsi"/>
              </w:rPr>
              <w:t>rimjedb</w:t>
            </w:r>
            <w:r w:rsidR="00625E9D">
              <w:rPr>
                <w:rFonts w:cstheme="minorHAnsi"/>
              </w:rPr>
              <w:t>i</w:t>
            </w:r>
            <w:r w:rsidR="0006012A" w:rsidRPr="00670B93">
              <w:rPr>
                <w:rFonts w:cstheme="minorHAnsi"/>
              </w:rPr>
              <w:t xml:space="preserve">, Nacrt Pravilnika </w:t>
            </w:r>
            <w:r w:rsidR="00F120E3">
              <w:rPr>
                <w:rFonts w:cstheme="minorHAnsi"/>
              </w:rPr>
              <w:t xml:space="preserve">poduzimanje ovih </w:t>
            </w:r>
            <w:r w:rsidR="006B671E">
              <w:rPr>
                <w:rFonts w:cstheme="minorHAnsi"/>
              </w:rPr>
              <w:t xml:space="preserve">službenih radnji državnog odvjetnika </w:t>
            </w:r>
            <w:r w:rsidR="0006012A" w:rsidRPr="00670B93">
              <w:rPr>
                <w:rFonts w:cstheme="minorHAnsi"/>
              </w:rPr>
              <w:t xml:space="preserve">smatra aktivnim dežurstvom. </w:t>
            </w:r>
            <w:r w:rsidR="002B5736">
              <w:rPr>
                <w:rFonts w:cstheme="minorHAnsi"/>
              </w:rPr>
              <w:t xml:space="preserve">Tako se </w:t>
            </w:r>
            <w:r w:rsidR="0006012A" w:rsidRPr="00670B93">
              <w:rPr>
                <w:rFonts w:cstheme="minorHAnsi"/>
              </w:rPr>
              <w:t xml:space="preserve">člankom 1. Nacrta Pravilnika predlaže propisati </w:t>
            </w:r>
            <w:r w:rsidR="00670B93">
              <w:rPr>
                <w:rFonts w:cstheme="minorHAnsi"/>
              </w:rPr>
              <w:t xml:space="preserve">da je </w:t>
            </w:r>
            <w:r w:rsidR="00670B93" w:rsidRPr="00670B93">
              <w:t>obavljanje službene radnje suca, državnog odvjetnika ili zamjenika državnog odvjetnika izvan zgrade suda i državnog odvjetništva</w:t>
            </w:r>
            <w:r w:rsidR="002B5736">
              <w:t>,</w:t>
            </w:r>
            <w:r w:rsidR="00670B93">
              <w:t xml:space="preserve"> </w:t>
            </w:r>
            <w:r w:rsidR="002B5736" w:rsidRPr="00670B93">
              <w:t>koja ne trpi odgodu</w:t>
            </w:r>
            <w:r w:rsidR="002B5736">
              <w:t>,</w:t>
            </w:r>
            <w:r w:rsidR="002B5736" w:rsidRPr="00670B93">
              <w:t xml:space="preserve"> </w:t>
            </w:r>
            <w:r w:rsidR="00670B93">
              <w:t>aktivno dežurstvo</w:t>
            </w:r>
            <w:r w:rsidR="00670B93" w:rsidRPr="00670B93">
              <w:t>.</w:t>
            </w:r>
          </w:p>
        </w:tc>
      </w:tr>
      <w:tr w:rsidR="00550D8D" w:rsidRPr="000C6236" w:rsidTr="000D46B5">
        <w:tc>
          <w:tcPr>
            <w:tcW w:w="287" w:type="pct"/>
            <w:vMerge w:val="restart"/>
            <w:vAlign w:val="center"/>
          </w:tcPr>
          <w:p w:rsidR="00550D8D" w:rsidRPr="006C44B6" w:rsidRDefault="00550D8D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848" w:type="pct"/>
            <w:vMerge w:val="restart"/>
            <w:vAlign w:val="center"/>
          </w:tcPr>
          <w:p w:rsidR="00550D8D" w:rsidRPr="006C44B6" w:rsidRDefault="00550D8D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Županijsko državno odvjetništvo u Zagrebu</w:t>
            </w:r>
          </w:p>
        </w:tc>
        <w:tc>
          <w:tcPr>
            <w:tcW w:w="748" w:type="pct"/>
            <w:vAlign w:val="center"/>
          </w:tcPr>
          <w:p w:rsidR="00550D8D" w:rsidRPr="000C6236" w:rsidRDefault="00550D8D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st. 1. Nacrta Pravilnika</w:t>
            </w:r>
          </w:p>
        </w:tc>
        <w:tc>
          <w:tcPr>
            <w:tcW w:w="1495" w:type="pct"/>
            <w:vAlign w:val="center"/>
          </w:tcPr>
          <w:p w:rsidR="00550D8D" w:rsidRPr="000C6236" w:rsidRDefault="00550D8D" w:rsidP="001907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Ministar pravosuđa nema ovlast donijeti predloženi pravilnik jer nema zakona koji ga na to ovlašćuje.</w:t>
            </w:r>
          </w:p>
        </w:tc>
        <w:tc>
          <w:tcPr>
            <w:tcW w:w="1622" w:type="pct"/>
          </w:tcPr>
          <w:p w:rsidR="00550D8D" w:rsidRDefault="00550D8D" w:rsidP="00BF214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Primjedba se ne prihvaća.</w:t>
            </w:r>
          </w:p>
          <w:p w:rsidR="00550D8D" w:rsidRPr="00BF2146" w:rsidRDefault="00550D8D" w:rsidP="00542261">
            <w:pPr>
              <w:jc w:val="both"/>
              <w:rPr>
                <w:rFonts w:cstheme="minorHAnsi"/>
              </w:rPr>
            </w:pPr>
            <w:r w:rsidRPr="00BF2146">
              <w:rPr>
                <w:rFonts w:cstheme="minorHAnsi"/>
              </w:rPr>
              <w:t>Člankom</w:t>
            </w:r>
            <w:r>
              <w:rPr>
                <w:rFonts w:cstheme="minorHAnsi"/>
              </w:rPr>
              <w:t xml:space="preserve"> 135. stavkom 2. </w:t>
            </w:r>
            <w:r w:rsidRPr="00BF2146">
              <w:rPr>
                <w:rFonts w:cstheme="minorHAnsi"/>
              </w:rPr>
              <w:t>Zakona o sudovima</w:t>
            </w:r>
            <w:r>
              <w:rPr>
                <w:rFonts w:cstheme="minorHAnsi"/>
              </w:rPr>
              <w:t xml:space="preserve"> („Narodne novine“, broj 28/13)</w:t>
            </w:r>
            <w:r w:rsidRPr="00BF2146">
              <w:rPr>
                <w:rFonts w:cstheme="minorHAnsi"/>
              </w:rPr>
              <w:t xml:space="preserve"> i čl</w:t>
            </w:r>
            <w:r>
              <w:rPr>
                <w:rFonts w:cstheme="minorHAnsi"/>
              </w:rPr>
              <w:t>ankom</w:t>
            </w:r>
            <w:r w:rsidRPr="00BF21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46. stavkom 2. Zakona o državnom odvjetništvu („Narodne novine“, broj 76/09, 153/09, 116/10, 145/10, 57/11, 130/11, 72/13, 148/13) propisana je ova ovlast ministra pravosuđa.</w:t>
            </w:r>
          </w:p>
        </w:tc>
      </w:tr>
      <w:tr w:rsidR="00550D8D" w:rsidRPr="000C6236" w:rsidTr="000D46B5">
        <w:tc>
          <w:tcPr>
            <w:tcW w:w="287" w:type="pct"/>
            <w:vMerge/>
            <w:vAlign w:val="center"/>
          </w:tcPr>
          <w:p w:rsidR="00550D8D" w:rsidRPr="000C6236" w:rsidRDefault="00550D8D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550D8D" w:rsidRDefault="00550D8D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550D8D" w:rsidRDefault="00550D8D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st. 2 Nacrta Pravilnika</w:t>
            </w:r>
          </w:p>
        </w:tc>
        <w:tc>
          <w:tcPr>
            <w:tcW w:w="1495" w:type="pct"/>
            <w:vAlign w:val="center"/>
          </w:tcPr>
          <w:p w:rsidR="00550D8D" w:rsidRDefault="00550D8D" w:rsidP="0087464E">
            <w:pPr>
              <w:jc w:val="both"/>
              <w:rPr>
                <w:rFonts w:cstheme="minorHAnsi"/>
              </w:rPr>
            </w:pPr>
            <w:r w:rsidRPr="000644C6">
              <w:rPr>
                <w:rFonts w:cstheme="minorHAnsi"/>
              </w:rPr>
              <w:t>Predlaže se da se kao aktivno dežurstvo plaća vrijeme provedeno u odlasku na mjesto obavljanja službene radnje te u dolasku s mjesta obavljanja službene radnje.</w:t>
            </w:r>
          </w:p>
        </w:tc>
        <w:tc>
          <w:tcPr>
            <w:tcW w:w="1622" w:type="pct"/>
          </w:tcPr>
          <w:p w:rsidR="006632C7" w:rsidRDefault="00550D8D" w:rsidP="006632C7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Prijedlog se djelomično </w:t>
            </w:r>
            <w:r w:rsidR="00064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prihvaća </w:t>
            </w:r>
            <w:r w:rsidR="000644C6" w:rsidRPr="000644C6">
              <w:rPr>
                <w:rFonts w:asciiTheme="minorHAnsi" w:hAnsiTheme="minorHAnsi" w:cstheme="minorHAnsi"/>
                <w:sz w:val="22"/>
                <w:szCs w:val="22"/>
              </w:rPr>
              <w:t>te će se</w:t>
            </w:r>
            <w:r w:rsidR="00064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44C6" w:rsidRPr="000644C6">
              <w:rPr>
                <w:rFonts w:asciiTheme="minorHAnsi" w:hAnsiTheme="minorHAnsi" w:cstheme="minorHAnsi"/>
                <w:sz w:val="22"/>
                <w:szCs w:val="22"/>
              </w:rPr>
              <w:t>propisati</w:t>
            </w:r>
            <w:r w:rsidR="00064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>da a</w:t>
            </w:r>
            <w:r w:rsidRPr="00E7152A">
              <w:rPr>
                <w:rFonts w:asciiTheme="minorHAnsi" w:hAnsiTheme="minorHAnsi"/>
                <w:sz w:val="22"/>
                <w:szCs w:val="22"/>
              </w:rPr>
              <w:t>ko je mjesto obavljanja službene radnje koja ne trpi odgodu različito od mjesta sjedišta suda odnosno državnog odvjetništva</w:t>
            </w:r>
            <w:r w:rsidR="006A58D3">
              <w:rPr>
                <w:rFonts w:asciiTheme="minorHAnsi" w:hAnsiTheme="minorHAnsi"/>
                <w:sz w:val="22"/>
                <w:szCs w:val="22"/>
              </w:rPr>
              <w:t>,</w:t>
            </w:r>
            <w:r w:rsidRPr="00E71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3EA9">
              <w:rPr>
                <w:rFonts w:asciiTheme="minorHAnsi" w:hAnsiTheme="minorHAnsi"/>
                <w:sz w:val="22"/>
                <w:szCs w:val="22"/>
              </w:rPr>
              <w:t xml:space="preserve">vrijeme koje je sudac, državni odvjetnik ili zamjenik državnog odvjetnika proveo na putu od mjesta sjedišta suda odnosno mjesta sjedišta državnog odvjetništva </w:t>
            </w:r>
            <w:r w:rsidR="000644C6">
              <w:rPr>
                <w:rFonts w:asciiTheme="minorHAnsi" w:hAnsiTheme="minorHAnsi"/>
                <w:sz w:val="22"/>
                <w:szCs w:val="22"/>
              </w:rPr>
              <w:t xml:space="preserve">do mjesta </w:t>
            </w:r>
            <w:r w:rsidR="006A58D3">
              <w:rPr>
                <w:rFonts w:asciiTheme="minorHAnsi" w:hAnsiTheme="minorHAnsi"/>
                <w:sz w:val="22"/>
                <w:szCs w:val="22"/>
              </w:rPr>
              <w:t xml:space="preserve">obavljanja službene radnje i natrag </w:t>
            </w:r>
            <w:r w:rsidR="00123EA9">
              <w:rPr>
                <w:rFonts w:asciiTheme="minorHAnsi" w:hAnsiTheme="minorHAnsi"/>
                <w:sz w:val="22"/>
                <w:szCs w:val="22"/>
              </w:rPr>
              <w:t>uračunava se u vrijeme aktivnog dežurstva</w:t>
            </w:r>
            <w:r w:rsidR="006A58D3">
              <w:rPr>
                <w:rFonts w:asciiTheme="minorHAnsi" w:hAnsiTheme="minorHAnsi"/>
                <w:sz w:val="22"/>
                <w:szCs w:val="22"/>
              </w:rPr>
              <w:t>.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50D8D" w:rsidRPr="004C1C37" w:rsidRDefault="00550D8D" w:rsidP="006632C7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4C1C37">
              <w:rPr>
                <w:rFonts w:asciiTheme="minorHAnsi" w:hAnsiTheme="minorHAnsi" w:cstheme="minorHAnsi"/>
                <w:sz w:val="22"/>
                <w:szCs w:val="22"/>
              </w:rPr>
              <w:t>obzirom da je sukladno Poslovniku državnog odvjetništva odnosno Sudskom poslovniku državni odvjetnik (zamjenik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 xml:space="preserve"> državnog odvjetnika</w:t>
            </w:r>
            <w:r w:rsidRPr="004C1C37">
              <w:rPr>
                <w:rFonts w:asciiTheme="minorHAnsi" w:hAnsiTheme="minorHAnsi" w:cstheme="minorHAnsi"/>
                <w:sz w:val="22"/>
                <w:szCs w:val="22"/>
              </w:rPr>
              <w:t xml:space="preserve">) odnosno sudac obvezan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vrijeme dežurstva </w:t>
            </w:r>
            <w:r w:rsidRPr="004C1C37">
              <w:rPr>
                <w:rFonts w:asciiTheme="minorHAnsi" w:hAnsiTheme="minorHAnsi" w:cstheme="minorHAnsi"/>
                <w:sz w:val="22"/>
                <w:szCs w:val="22"/>
              </w:rPr>
              <w:t xml:space="preserve">biti u mjestu sjedišta državnog odvjetništva odnosno suda,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vrijeme provedeno na putu unutar mjesta u kojem je sjedište suda odnosno državnog odvjetništva 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 xml:space="preserve">do mjesta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 xml:space="preserve">bavljanja službene radnje nije osnovano uračunavati u vrijeme aktivnog dežurstva već se radi o pasivnom dežurstvu. Ovdje se ujedno  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ukazuje i na to da se 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>ni vrijeme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 xml:space="preserve"> provedeno na putu do 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>pravosudnog tijela,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 xml:space="preserve">radi obavljanja rada u redovno radno vrijeme, pravosudnom dužnosniku ne 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 xml:space="preserve">uračunava u </w:t>
            </w:r>
            <w:r w:rsidR="006A58D3">
              <w:rPr>
                <w:rFonts w:asciiTheme="minorHAnsi" w:hAnsiTheme="minorHAnsi" w:cstheme="minorHAnsi"/>
                <w:sz w:val="22"/>
                <w:szCs w:val="22"/>
              </w:rPr>
              <w:t xml:space="preserve">radno </w:t>
            </w:r>
            <w:r w:rsidR="000644C6">
              <w:rPr>
                <w:rFonts w:asciiTheme="minorHAnsi" w:hAnsiTheme="minorHAnsi" w:cstheme="minorHAnsi"/>
                <w:sz w:val="22"/>
                <w:szCs w:val="22"/>
              </w:rPr>
              <w:t>vrijeme.</w:t>
            </w:r>
            <w:r w:rsidRPr="004C1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0D8D" w:rsidRPr="000C6236" w:rsidTr="000D46B5">
        <w:tc>
          <w:tcPr>
            <w:tcW w:w="287" w:type="pct"/>
            <w:vMerge/>
            <w:vAlign w:val="center"/>
          </w:tcPr>
          <w:p w:rsidR="00550D8D" w:rsidRPr="000C6236" w:rsidRDefault="00550D8D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550D8D" w:rsidRDefault="00550D8D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550D8D" w:rsidRDefault="00550D8D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st. 3. Nacrta Pravilnika</w:t>
            </w:r>
          </w:p>
        </w:tc>
        <w:tc>
          <w:tcPr>
            <w:tcW w:w="1495" w:type="pct"/>
            <w:vAlign w:val="center"/>
          </w:tcPr>
          <w:p w:rsidR="00550D8D" w:rsidRDefault="00550D8D" w:rsidP="008D64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se pasivno dežurstvo propisati kao pripravnost na obavljanje službene radnje i obveznu prisutnost unutar određenog broja kilometara cestovne udaljenosti od mjesta sjedišta suda odnosno državnog odvjetništva jer se na taj način ne ugrožava pravovremenost obavljanja službene radnje, a omogućuje se dužnosnicima koji ne žive u mjestu sjedišta suda odnosno državnog odvjetništva da dežuraju. </w:t>
            </w:r>
          </w:p>
        </w:tc>
        <w:tc>
          <w:tcPr>
            <w:tcW w:w="1622" w:type="pct"/>
          </w:tcPr>
          <w:p w:rsidR="00550D8D" w:rsidRPr="00760080" w:rsidRDefault="00550D8D" w:rsidP="0071405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Prijedlog se ne prihvaća.</w:t>
            </w:r>
          </w:p>
          <w:p w:rsidR="00550D8D" w:rsidRPr="00760080" w:rsidRDefault="00550D8D" w:rsidP="007140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Upućuje se na argumentaciju navedenu uz odgovarajući prijedlog i primjedbu Državnog odvjetništva Republike Hrvatske.</w:t>
            </w:r>
          </w:p>
        </w:tc>
      </w:tr>
      <w:tr w:rsidR="00550D8D" w:rsidRPr="000C6236" w:rsidTr="000D46B5">
        <w:tc>
          <w:tcPr>
            <w:tcW w:w="287" w:type="pct"/>
            <w:vMerge/>
            <w:vAlign w:val="center"/>
          </w:tcPr>
          <w:p w:rsidR="00550D8D" w:rsidRPr="000C6236" w:rsidRDefault="00550D8D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550D8D" w:rsidRDefault="00550D8D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550D8D" w:rsidRDefault="00550D8D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 st. 1. Nacrta Pravilnika</w:t>
            </w:r>
          </w:p>
        </w:tc>
        <w:tc>
          <w:tcPr>
            <w:tcW w:w="1495" w:type="pct"/>
            <w:vAlign w:val="center"/>
          </w:tcPr>
          <w:p w:rsidR="00550D8D" w:rsidRPr="005F07E5" w:rsidRDefault="00550D8D" w:rsidP="008D640B">
            <w:pPr>
              <w:jc w:val="both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Odredba je protivna članku 5. stavku 1. Ustava RH koji propisuje da zakoni moraju biti u suglasnosti s Ustavom, a drugi propisi u suglasnosti s Ustavom i zakonom. Odredba Nacrta Pravilnika je protivna i članku 94. Zakona o radu koji propisuje da radnik za prekovremeni, noćni te rad nedjeljom, blagdanom ili drugim neradim danom ima pravo na povećanu plaću. Odredba Nacrta Pravilnika je protivna i članku 3. stavku 1. točki 1. Zakona o plaćama sudaca i drugih pravosudnih dužnosnika koji propisuje da za vrijeme obnašanja pravosudne dužnosti dužnosnici imaju pravo na plaću. Stoga predmet razrade zakonskih normi pravilnikom može biti samo izračun povećanja plaće u odnosu na onu koja se isplaćuje za redovan rad, a nipošto određivanje plaće za rad izvan redovitog radnog vremena u iznosu koji je manji od plaće, što se Nacrtom pravilnika predlaže propisati. </w:t>
            </w:r>
          </w:p>
        </w:tc>
        <w:tc>
          <w:tcPr>
            <w:tcW w:w="1622" w:type="pct"/>
          </w:tcPr>
          <w:p w:rsidR="00550D8D" w:rsidRDefault="00550D8D" w:rsidP="00670B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Primjedba se djelomično prihvaća.</w:t>
            </w:r>
          </w:p>
          <w:p w:rsidR="00550D8D" w:rsidRPr="005F07E5" w:rsidRDefault="00550D8D" w:rsidP="004C1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Odredbom članka 135. </w:t>
            </w:r>
            <w:r w:rsidR="0069240E">
              <w:rPr>
                <w:rFonts w:cstheme="minorHAnsi"/>
              </w:rPr>
              <w:t xml:space="preserve">Stavka 2. </w:t>
            </w:r>
            <w:r w:rsidRPr="005F07E5">
              <w:rPr>
                <w:rFonts w:cstheme="minorHAnsi"/>
              </w:rPr>
              <w:t>Zakon</w:t>
            </w:r>
            <w:r>
              <w:rPr>
                <w:rFonts w:cstheme="minorHAnsi"/>
              </w:rPr>
              <w:t xml:space="preserve">a o sudovima („Narodne novine“, broj 28/13) i članka 46. </w:t>
            </w:r>
            <w:r w:rsidR="0069240E">
              <w:rPr>
                <w:rFonts w:cstheme="minorHAnsi"/>
              </w:rPr>
              <w:t xml:space="preserve">Stavka 2. </w:t>
            </w:r>
            <w:r>
              <w:rPr>
                <w:rFonts w:cstheme="minorHAnsi"/>
              </w:rPr>
              <w:t xml:space="preserve">Zakonom o državnom odvjetništvu („Narodne novine“, broj 76/09, 153/09, 116/10, 145/10, 57/11, 130/11, 72/13, 148/13) daje se ovlast ministru pravosuđa da utvrdi uvjete i visinu naknade za obavljanje poslova u dežurstvu. </w:t>
            </w:r>
          </w:p>
        </w:tc>
      </w:tr>
      <w:tr w:rsidR="00550D8D" w:rsidRPr="000C6236" w:rsidTr="000D46B5">
        <w:tc>
          <w:tcPr>
            <w:tcW w:w="287" w:type="pct"/>
            <w:vMerge/>
            <w:vAlign w:val="center"/>
          </w:tcPr>
          <w:p w:rsidR="00550D8D" w:rsidRPr="000C6236" w:rsidRDefault="00550D8D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550D8D" w:rsidRDefault="00550D8D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550D8D" w:rsidRDefault="00550D8D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550D8D" w:rsidRDefault="00065A97" w:rsidP="00A7538C">
            <w:pPr>
              <w:jc w:val="both"/>
              <w:rPr>
                <w:rFonts w:cstheme="minorHAnsi"/>
              </w:rPr>
            </w:pPr>
            <w:r w:rsidRPr="006A58D3">
              <w:rPr>
                <w:rFonts w:cstheme="minorHAnsi"/>
              </w:rPr>
              <w:t>Naknade za dežurstvo su neopravdano niske</w:t>
            </w:r>
            <w:r w:rsidR="00FF3914" w:rsidRPr="006A58D3">
              <w:rPr>
                <w:rFonts w:cstheme="minorHAnsi"/>
              </w:rPr>
              <w:t>. Pravosudni dužnosnici bi po Nacrtu Pravilnika za rad izvan redovitog radnog</w:t>
            </w:r>
            <w:r w:rsidR="00FF3914">
              <w:rPr>
                <w:rFonts w:cstheme="minorHAnsi"/>
              </w:rPr>
              <w:t xml:space="preserve"> vremena bili plaćeni višestruko manje nego za istu vrstu posla u redovito radno vrijeme pa čak i manje od daktilografa koji</w:t>
            </w:r>
            <w:r w:rsidR="00A7538C">
              <w:rPr>
                <w:rFonts w:cstheme="minorHAnsi"/>
              </w:rPr>
              <w:t xml:space="preserve"> su</w:t>
            </w:r>
            <w:r w:rsidR="00FF3914">
              <w:rPr>
                <w:rFonts w:cstheme="minorHAnsi"/>
              </w:rPr>
              <w:t xml:space="preserve">, primjerice, </w:t>
            </w:r>
            <w:r w:rsidR="00A7538C">
              <w:rPr>
                <w:rFonts w:cstheme="minorHAnsi"/>
              </w:rPr>
              <w:t xml:space="preserve">za rad nedjeljom plaćeni 64,50 kn bruto po satu. </w:t>
            </w:r>
            <w:r w:rsidR="000A7037">
              <w:rPr>
                <w:rFonts w:cstheme="minorHAnsi"/>
              </w:rPr>
              <w:t>stoga se za tzv. aktivno dežurstvo predlaže propisati barem iznos u visini satnice redovnog radnog vremena zamjenika državnog odvjetnika, što iznosi 75,11</w:t>
            </w:r>
            <w:r w:rsidR="00272774">
              <w:rPr>
                <w:rFonts w:cstheme="minorHAnsi"/>
              </w:rPr>
              <w:t xml:space="preserve"> </w:t>
            </w:r>
            <w:r w:rsidR="000A7037">
              <w:rPr>
                <w:rFonts w:cstheme="minorHAnsi"/>
              </w:rPr>
              <w:t xml:space="preserve">kn bruto (zamjenik općinskog državnog odvjetnika) odnosno 116,485kn bruto (zamjenik županijskog državnog odvjetnika). </w:t>
            </w:r>
          </w:p>
          <w:p w:rsidR="00272774" w:rsidRDefault="00272774" w:rsidP="002727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Naknada za pasivno dežurstvo također se predlaže u preniskom iznosu.</w:t>
            </w:r>
          </w:p>
          <w:p w:rsidR="00272774" w:rsidRDefault="00272774" w:rsidP="002727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Visina naknada predložena u iznimno niskom iznosu ne uvažava ni činjenicu da zamjenici državnih odvjetnika nakon 24-satnog dežurstva sutradan ujutro nastavljaju s radom u okviru redovnog radnog vremena.</w:t>
            </w:r>
          </w:p>
        </w:tc>
        <w:tc>
          <w:tcPr>
            <w:tcW w:w="1622" w:type="pct"/>
          </w:tcPr>
          <w:p w:rsidR="00774EF9" w:rsidRDefault="0069240E" w:rsidP="00774EF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Prijedlog se djelomično prihvaća</w:t>
            </w:r>
            <w:r w:rsidR="00774EF9">
              <w:rPr>
                <w:rFonts w:cstheme="minorHAnsi"/>
                <w:b/>
              </w:rPr>
              <w:t>.</w:t>
            </w:r>
          </w:p>
          <w:p w:rsidR="00550D8D" w:rsidRDefault="00774EF9" w:rsidP="00123EA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</w:t>
            </w:r>
            <w:r w:rsidR="0069240E"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</w:t>
            </w:r>
            <w:r w:rsidR="00123EA9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povećava</w:t>
            </w:r>
            <w:r w:rsidR="00123EA9">
              <w:rPr>
                <w:rFonts w:cstheme="minorHAnsi"/>
              </w:rPr>
              <w:t>ju</w:t>
            </w:r>
            <w:r w:rsidR="000644C6">
              <w:rPr>
                <w:rFonts w:cstheme="minorHAnsi"/>
              </w:rPr>
              <w:t>, ali ne u predloženoj visini. Naknade se povećavaju</w:t>
            </w:r>
            <w:r w:rsidR="00123EA9">
              <w:rPr>
                <w:rFonts w:cstheme="minorHAnsi"/>
              </w:rPr>
              <w:t xml:space="preserve"> sukladno visini osiguranih sredstava u državnom proračunu.</w:t>
            </w:r>
            <w:r>
              <w:rPr>
                <w:rFonts w:cstheme="minorHAnsi"/>
              </w:rPr>
              <w:t xml:space="preserve"> </w:t>
            </w:r>
          </w:p>
        </w:tc>
      </w:tr>
      <w:tr w:rsidR="00045EB4" w:rsidRPr="000C6236" w:rsidTr="000D46B5">
        <w:trPr>
          <w:trHeight w:val="934"/>
        </w:trPr>
        <w:tc>
          <w:tcPr>
            <w:tcW w:w="287" w:type="pct"/>
            <w:vAlign w:val="center"/>
          </w:tcPr>
          <w:p w:rsidR="00045EB4" w:rsidRPr="006C44B6" w:rsidRDefault="00045EB4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3.</w:t>
            </w:r>
          </w:p>
        </w:tc>
        <w:tc>
          <w:tcPr>
            <w:tcW w:w="848" w:type="pct"/>
            <w:vAlign w:val="center"/>
          </w:tcPr>
          <w:p w:rsidR="00045EB4" w:rsidRPr="006C44B6" w:rsidRDefault="00B2664C" w:rsidP="000D46B5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Županijsko državno odvjetništvo u Osijeku</w:t>
            </w:r>
          </w:p>
        </w:tc>
        <w:tc>
          <w:tcPr>
            <w:tcW w:w="748" w:type="pct"/>
            <w:vAlign w:val="center"/>
          </w:tcPr>
          <w:p w:rsidR="00045EB4" w:rsidRPr="000C6236" w:rsidRDefault="00B2664C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čl. </w:t>
            </w:r>
            <w:r w:rsidR="008B0029">
              <w:rPr>
                <w:rFonts w:cstheme="minorHAnsi"/>
              </w:rPr>
              <w:t>1. i 3. Nacrta Pravilnika</w:t>
            </w:r>
          </w:p>
        </w:tc>
        <w:tc>
          <w:tcPr>
            <w:tcW w:w="1495" w:type="pct"/>
            <w:vAlign w:val="center"/>
          </w:tcPr>
          <w:p w:rsidR="00045EB4" w:rsidRPr="000C6236" w:rsidRDefault="00DF2975" w:rsidP="00125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Naknada za pasivno dežurstvo je simbolična i ne uzima u obzir da državni odvjetnici tijekom pasivnog dežurstva telefonski kontaktiraju s policijskim službenicima dajući im usmene naloge, obavijesti i sl.</w:t>
            </w:r>
          </w:p>
        </w:tc>
        <w:tc>
          <w:tcPr>
            <w:tcW w:w="1622" w:type="pct"/>
          </w:tcPr>
          <w:p w:rsidR="00045EB4" w:rsidRDefault="00045EB4" w:rsidP="001254F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</w:t>
            </w:r>
            <w:r w:rsidR="00B2664C">
              <w:rPr>
                <w:rFonts w:cstheme="minorHAnsi"/>
                <w:b/>
              </w:rPr>
              <w:t>mjedba se ne prihvaća</w:t>
            </w:r>
            <w:r>
              <w:rPr>
                <w:rFonts w:cstheme="minorHAnsi"/>
                <w:b/>
              </w:rPr>
              <w:t>.</w:t>
            </w:r>
          </w:p>
          <w:p w:rsidR="008B0029" w:rsidRPr="00AE1AD1" w:rsidRDefault="008B0029" w:rsidP="007140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1405E">
              <w:rPr>
                <w:rFonts w:cstheme="minorHAnsi"/>
              </w:rPr>
              <w:t xml:space="preserve">pućuje se </w:t>
            </w:r>
            <w:r>
              <w:rPr>
                <w:rFonts w:cstheme="minorHAnsi"/>
              </w:rPr>
              <w:t xml:space="preserve">na argumentaciju navedenu </w:t>
            </w:r>
            <w:r w:rsidR="0071405E">
              <w:rPr>
                <w:rFonts w:cstheme="minorHAnsi"/>
              </w:rPr>
              <w:t>uz odgovarajući prijedlog i primjedbu Državnog odvjetništva Republike Hrvatske.</w:t>
            </w:r>
          </w:p>
        </w:tc>
      </w:tr>
      <w:tr w:rsidR="000D46B5" w:rsidRPr="000C6236" w:rsidTr="000D46B5">
        <w:trPr>
          <w:trHeight w:val="343"/>
        </w:trPr>
        <w:tc>
          <w:tcPr>
            <w:tcW w:w="287" w:type="pct"/>
            <w:vMerge w:val="restart"/>
            <w:vAlign w:val="center"/>
          </w:tcPr>
          <w:p w:rsidR="000D46B5" w:rsidRPr="006C44B6" w:rsidRDefault="000D46B5" w:rsidP="000D46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0D46B5" w:rsidRPr="006C44B6" w:rsidRDefault="000D46B5" w:rsidP="000D46B5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Županijsko državno odvjetništvo u Slavonskom Brodu</w:t>
            </w:r>
          </w:p>
        </w:tc>
        <w:tc>
          <w:tcPr>
            <w:tcW w:w="748" w:type="pct"/>
            <w:vAlign w:val="center"/>
          </w:tcPr>
          <w:p w:rsidR="000D46B5" w:rsidRPr="000C6236" w:rsidRDefault="000D46B5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st. 3. Nacrta Pravilnika</w:t>
            </w:r>
          </w:p>
        </w:tc>
        <w:tc>
          <w:tcPr>
            <w:tcW w:w="1495" w:type="pct"/>
            <w:vAlign w:val="center"/>
          </w:tcPr>
          <w:p w:rsidR="000D46B5" w:rsidRPr="000C6236" w:rsidRDefault="000D46B5" w:rsidP="007140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Predlaže se pasivno dežurstvo definirati kao obvezatnu prisutnost dužnosnika u mjestu područja nadležnosti suda odnosno državnog odvjetništva.</w:t>
            </w:r>
          </w:p>
        </w:tc>
        <w:tc>
          <w:tcPr>
            <w:tcW w:w="1622" w:type="pct"/>
          </w:tcPr>
          <w:p w:rsidR="000D46B5" w:rsidRDefault="000D46B5" w:rsidP="008B0029">
            <w:r w:rsidRPr="00363B8B">
              <w:rPr>
                <w:rFonts w:cstheme="minorHAnsi"/>
                <w:b/>
              </w:rPr>
              <w:t>Prijedlog se ne prihvaća</w:t>
            </w:r>
            <w:r w:rsidR="0071405E">
              <w:rPr>
                <w:rFonts w:cstheme="minorHAnsi"/>
                <w:b/>
              </w:rPr>
              <w:t>.</w:t>
            </w:r>
          </w:p>
          <w:p w:rsidR="0071405E" w:rsidRPr="00876DC1" w:rsidRDefault="0071405E" w:rsidP="0071405E">
            <w:pPr>
              <w:jc w:val="both"/>
              <w:rPr>
                <w:rFonts w:cstheme="minorHAnsi"/>
              </w:rPr>
            </w:pPr>
            <w:r w:rsidRPr="00876DC1">
              <w:rPr>
                <w:rFonts w:cstheme="minorHAnsi"/>
              </w:rPr>
              <w:t>Upućuje se na argumentaciju</w:t>
            </w:r>
            <w:r>
              <w:rPr>
                <w:rFonts w:cstheme="minorHAnsi"/>
              </w:rPr>
              <w:t xml:space="preserve"> navedenu uz odgovarajući prijedlog i primjedbu Državnog odvjetništva Republike Hrvatske.</w:t>
            </w:r>
          </w:p>
          <w:p w:rsidR="000D46B5" w:rsidRDefault="000D46B5" w:rsidP="00704C7E"/>
        </w:tc>
      </w:tr>
      <w:tr w:rsidR="000D46B5" w:rsidRPr="000C6236" w:rsidTr="000D46B5">
        <w:tc>
          <w:tcPr>
            <w:tcW w:w="287" w:type="pct"/>
            <w:vMerge/>
            <w:vAlign w:val="center"/>
          </w:tcPr>
          <w:p w:rsidR="000D46B5" w:rsidRPr="000C6236" w:rsidRDefault="000D46B5" w:rsidP="00501A82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0D46B5" w:rsidRDefault="000D46B5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0D46B5" w:rsidRDefault="000D46B5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i 3. Nacrta Pravilnika</w:t>
            </w:r>
          </w:p>
        </w:tc>
        <w:tc>
          <w:tcPr>
            <w:tcW w:w="1495" w:type="pct"/>
            <w:vAlign w:val="center"/>
          </w:tcPr>
          <w:p w:rsidR="000D46B5" w:rsidRPr="000C6236" w:rsidRDefault="000D46B5" w:rsidP="00AB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Naknada za pasivno dežurstvo je simbolična i ne uzima u obzir da državni odvjetnici tijekom pasivnog dežurstva telefonski kontaktiraju s policijskim službenicima dajući im usmene </w:t>
            </w:r>
            <w:r>
              <w:rPr>
                <w:rFonts w:cstheme="minorHAnsi"/>
              </w:rPr>
              <w:lastRenderedPageBreak/>
              <w:t>naloge, obavijesti i sl.</w:t>
            </w:r>
          </w:p>
        </w:tc>
        <w:tc>
          <w:tcPr>
            <w:tcW w:w="1622" w:type="pct"/>
          </w:tcPr>
          <w:p w:rsidR="000D46B5" w:rsidRDefault="000D46B5" w:rsidP="0071405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Prijedlog se ne prihvaća.</w:t>
            </w:r>
          </w:p>
          <w:p w:rsidR="000D46B5" w:rsidRPr="008B0029" w:rsidRDefault="0071405E" w:rsidP="007140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Upućuje se na argumentaciju navedenu uz odgovarajuće prijedloge i primjedbe Državnog odvjetništva Republike Hrvatske.</w:t>
            </w:r>
          </w:p>
        </w:tc>
      </w:tr>
      <w:tr w:rsidR="000D46B5" w:rsidRPr="000C6236" w:rsidTr="000D46B5">
        <w:tc>
          <w:tcPr>
            <w:tcW w:w="287" w:type="pct"/>
            <w:vMerge/>
            <w:vAlign w:val="center"/>
          </w:tcPr>
          <w:p w:rsidR="000D46B5" w:rsidRPr="000C6236" w:rsidRDefault="000D46B5" w:rsidP="00501A82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0D46B5" w:rsidRDefault="000D46B5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0D46B5" w:rsidRDefault="00E262E2" w:rsidP="00E262E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0D46B5">
              <w:rPr>
                <w:rFonts w:cstheme="minorHAnsi"/>
              </w:rPr>
              <w:t>l. 3. Nacrta Pravilnika</w:t>
            </w:r>
          </w:p>
        </w:tc>
        <w:tc>
          <w:tcPr>
            <w:tcW w:w="1495" w:type="pct"/>
            <w:vAlign w:val="center"/>
          </w:tcPr>
          <w:p w:rsidR="000D46B5" w:rsidRPr="000C6236" w:rsidRDefault="000D46B5" w:rsidP="00CC488B">
            <w:pPr>
              <w:rPr>
                <w:rFonts w:cstheme="minorHAnsi"/>
              </w:rPr>
            </w:pPr>
            <w:r w:rsidRPr="00AB4721">
              <w:rPr>
                <w:rFonts w:cstheme="minorHAnsi"/>
              </w:rPr>
              <w:t>Predlaže se naknade povećati.</w:t>
            </w:r>
          </w:p>
        </w:tc>
        <w:tc>
          <w:tcPr>
            <w:tcW w:w="1622" w:type="pct"/>
          </w:tcPr>
          <w:p w:rsidR="000D46B5" w:rsidRDefault="000D46B5" w:rsidP="0071405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Prijedlog se prihvaća.</w:t>
            </w:r>
          </w:p>
          <w:p w:rsidR="0071405E" w:rsidRPr="00363B8B" w:rsidRDefault="0071405E" w:rsidP="0071405E">
            <w:pPr>
              <w:jc w:val="both"/>
              <w:rPr>
                <w:rFonts w:cstheme="minorHAnsi"/>
                <w:b/>
              </w:rPr>
            </w:pPr>
          </w:p>
        </w:tc>
      </w:tr>
      <w:tr w:rsidR="00F23B2B" w:rsidRPr="000C6236" w:rsidTr="000D46B5">
        <w:tc>
          <w:tcPr>
            <w:tcW w:w="287" w:type="pct"/>
            <w:vMerge w:val="restart"/>
            <w:vAlign w:val="center"/>
          </w:tcPr>
          <w:p w:rsidR="00F23B2B" w:rsidRPr="006C44B6" w:rsidRDefault="00F23B2B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5.</w:t>
            </w:r>
          </w:p>
        </w:tc>
        <w:tc>
          <w:tcPr>
            <w:tcW w:w="848" w:type="pct"/>
            <w:vMerge w:val="restart"/>
            <w:vAlign w:val="center"/>
          </w:tcPr>
          <w:p w:rsidR="00F23B2B" w:rsidRDefault="00F23B2B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Županijsko državno odvjetništvo u Varaždinu</w:t>
            </w:r>
          </w:p>
          <w:p w:rsidR="00F23B2B" w:rsidRDefault="00F23B2B" w:rsidP="002162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</w:p>
          <w:p w:rsidR="00F23B2B" w:rsidRPr="006C44B6" w:rsidRDefault="00F23B2B" w:rsidP="002162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Općinsko državno odvjetništvo u Koprivnici</w:t>
            </w:r>
          </w:p>
        </w:tc>
        <w:tc>
          <w:tcPr>
            <w:tcW w:w="748" w:type="pct"/>
            <w:vAlign w:val="center"/>
          </w:tcPr>
          <w:p w:rsidR="00F23B2B" w:rsidRPr="000C6236" w:rsidRDefault="00F23B2B" w:rsidP="00E26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F23B2B" w:rsidRPr="000C6236" w:rsidRDefault="00F23B2B" w:rsidP="00E262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Naknada za pasivno dežurstvo je izrazito niska te se ne uzima u obzir da državni odvjetnici tijekom pasivnog dežurstva telefonski kontaktiraju s policijskim službenicima dajući im usmene naloge, obavijesti i sl.</w:t>
            </w:r>
          </w:p>
        </w:tc>
        <w:tc>
          <w:tcPr>
            <w:tcW w:w="1622" w:type="pct"/>
          </w:tcPr>
          <w:p w:rsidR="00F23B2B" w:rsidRDefault="00F23B2B" w:rsidP="00E262E2">
            <w:pPr>
              <w:jc w:val="both"/>
              <w:rPr>
                <w:b/>
              </w:rPr>
            </w:pPr>
            <w:r>
              <w:rPr>
                <w:b/>
              </w:rPr>
              <w:t xml:space="preserve">Prijedlog se ne prihvaća. </w:t>
            </w:r>
          </w:p>
          <w:p w:rsidR="00F23B2B" w:rsidRPr="00363B8B" w:rsidRDefault="00F23B2B" w:rsidP="00E262E2">
            <w:pPr>
              <w:jc w:val="both"/>
            </w:pPr>
            <w:r>
              <w:rPr>
                <w:rFonts w:cstheme="minorHAnsi"/>
              </w:rPr>
              <w:t>Upućuje se na argumentaciju navedenu uz odgovarajući prijedlog i primjedbu Državnog odvjetništva Republike Hrvatske.</w:t>
            </w:r>
          </w:p>
        </w:tc>
      </w:tr>
      <w:tr w:rsidR="00F23B2B" w:rsidRPr="000C6236" w:rsidTr="00415852">
        <w:trPr>
          <w:trHeight w:val="2696"/>
        </w:trPr>
        <w:tc>
          <w:tcPr>
            <w:tcW w:w="287" w:type="pct"/>
            <w:vMerge/>
            <w:vAlign w:val="center"/>
          </w:tcPr>
          <w:p w:rsidR="00F23B2B" w:rsidRPr="000C6236" w:rsidRDefault="00F23B2B" w:rsidP="00501A82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F23B2B" w:rsidRDefault="00F23B2B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F23B2B" w:rsidRPr="000C6236" w:rsidRDefault="00F23B2B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F23B2B" w:rsidRPr="000C6236" w:rsidRDefault="00F23B2B" w:rsidP="00125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Način obračuna naknada prema Nacrtu Pravilnika nepovoljniji </w:t>
            </w:r>
            <w:r w:rsidR="00A64650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za pravosudne dužnosnike od načina obračuna koji propisuje važeći Pravilnik.</w:t>
            </w:r>
          </w:p>
        </w:tc>
        <w:tc>
          <w:tcPr>
            <w:tcW w:w="1622" w:type="pct"/>
          </w:tcPr>
          <w:p w:rsidR="00F23B2B" w:rsidRDefault="00F23B2B" w:rsidP="001254FC">
            <w:pPr>
              <w:jc w:val="both"/>
              <w:rPr>
                <w:b/>
              </w:rPr>
            </w:pPr>
            <w:r>
              <w:rPr>
                <w:b/>
              </w:rPr>
              <w:t xml:space="preserve">Primjedba se ne prihvaća. </w:t>
            </w:r>
          </w:p>
          <w:p w:rsidR="00F23B2B" w:rsidRPr="001254FC" w:rsidRDefault="00F23B2B" w:rsidP="00A64650">
            <w:pPr>
              <w:jc w:val="both"/>
            </w:pPr>
            <w:r w:rsidRPr="001254FC">
              <w:t>Nacrt</w:t>
            </w:r>
            <w:r>
              <w:t>om</w:t>
            </w:r>
            <w:r w:rsidRPr="001254FC">
              <w:t xml:space="preserve"> Pravilnika</w:t>
            </w:r>
            <w:r>
              <w:t xml:space="preserve"> predlaže se utvrditi naknadu po satu dežurstva. Važećim Pravilnikom izjednačava se naknada za 6 sati dežurstva s naknadom za 16 sati (radni dan) odnosno</w:t>
            </w:r>
            <w:r w:rsidR="00A64650">
              <w:t xml:space="preserve"> s naknadom za</w:t>
            </w:r>
            <w:r>
              <w:t xml:space="preserve"> 24 sata dežurstva (</w:t>
            </w:r>
            <w:r w:rsidR="001F75A3">
              <w:t xml:space="preserve">u dane tjednog odmora, </w:t>
            </w:r>
            <w:r>
              <w:t>neradn</w:t>
            </w:r>
            <w:r w:rsidR="001F75A3">
              <w:t>e</w:t>
            </w:r>
            <w:r>
              <w:t xml:space="preserve"> dan</w:t>
            </w:r>
            <w:r w:rsidR="001F75A3">
              <w:t>e i</w:t>
            </w:r>
            <w:r>
              <w:t xml:space="preserve"> blagdan</w:t>
            </w:r>
            <w:r w:rsidR="001F75A3">
              <w:t>e</w:t>
            </w:r>
            <w:r>
              <w:t>) što stavlja u nepovoljniji položaj dužnosnike koji dežuraju dulje od 6 sati</w:t>
            </w:r>
            <w:r w:rsidR="009244CA">
              <w:t xml:space="preserve"> od onih koji dežuraju 6 sati ili kraće</w:t>
            </w:r>
            <w:r>
              <w:t xml:space="preserve">. </w:t>
            </w:r>
          </w:p>
        </w:tc>
      </w:tr>
      <w:tr w:rsidR="00750FAB" w:rsidRPr="003A3FDF" w:rsidTr="000D46B5">
        <w:tc>
          <w:tcPr>
            <w:tcW w:w="287" w:type="pct"/>
            <w:vMerge w:val="restart"/>
            <w:vAlign w:val="center"/>
          </w:tcPr>
          <w:p w:rsidR="00750FAB" w:rsidRPr="006C44B6" w:rsidRDefault="000D46B5" w:rsidP="000D4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750FAB" w:rsidRPr="006C44B6">
              <w:rPr>
                <w:rFonts w:cstheme="minorHAnsi"/>
                <w:b/>
              </w:rPr>
              <w:t>6.</w:t>
            </w:r>
          </w:p>
        </w:tc>
        <w:tc>
          <w:tcPr>
            <w:tcW w:w="848" w:type="pct"/>
            <w:vMerge w:val="restart"/>
            <w:vAlign w:val="center"/>
          </w:tcPr>
          <w:p w:rsidR="00750FAB" w:rsidRPr="006C44B6" w:rsidRDefault="00750FAB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Županijsko državno odvjetništvo u Vukovaru</w:t>
            </w:r>
          </w:p>
        </w:tc>
        <w:tc>
          <w:tcPr>
            <w:tcW w:w="748" w:type="pct"/>
            <w:vAlign w:val="center"/>
          </w:tcPr>
          <w:p w:rsidR="00750FAB" w:rsidRPr="00F367A8" w:rsidRDefault="00750FAB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st. 3. Nacrta Pravilnika</w:t>
            </w:r>
          </w:p>
        </w:tc>
        <w:tc>
          <w:tcPr>
            <w:tcW w:w="1495" w:type="pct"/>
            <w:vAlign w:val="center"/>
          </w:tcPr>
          <w:p w:rsidR="00750FAB" w:rsidRPr="00F367A8" w:rsidRDefault="00750FAB" w:rsidP="002B6F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se pasivno dežurstvo </w:t>
            </w:r>
            <w:r w:rsidR="002B6F24">
              <w:rPr>
                <w:rFonts w:cstheme="minorHAnsi"/>
              </w:rPr>
              <w:t>propisati</w:t>
            </w:r>
            <w:r>
              <w:rPr>
                <w:rFonts w:cstheme="minorHAnsi"/>
              </w:rPr>
              <w:t xml:space="preserve"> kao pripravnost </w:t>
            </w:r>
            <w:r w:rsidR="00F3088E">
              <w:rPr>
                <w:rFonts w:cstheme="minorHAnsi"/>
              </w:rPr>
              <w:t xml:space="preserve">pravosudnog dužnosnika </w:t>
            </w:r>
            <w:r>
              <w:rPr>
                <w:rFonts w:cstheme="minorHAnsi"/>
              </w:rPr>
              <w:t xml:space="preserve">kod kuće odnosno </w:t>
            </w:r>
            <w:r w:rsidR="00F3088E">
              <w:rPr>
                <w:rFonts w:cstheme="minorHAnsi"/>
              </w:rPr>
              <w:t xml:space="preserve">u </w:t>
            </w:r>
            <w:r>
              <w:rPr>
                <w:rFonts w:cstheme="minorHAnsi"/>
              </w:rPr>
              <w:t>stanu</w:t>
            </w:r>
            <w:r w:rsidR="00F3088E">
              <w:rPr>
                <w:rFonts w:cstheme="minorHAnsi"/>
              </w:rPr>
              <w:t xml:space="preserve"> jer, primjerice, niti jedan od </w:t>
            </w:r>
            <w:r w:rsidR="001A44C9">
              <w:rPr>
                <w:rFonts w:cstheme="minorHAnsi"/>
              </w:rPr>
              <w:t xml:space="preserve">državnoodvjetničkih </w:t>
            </w:r>
            <w:r w:rsidR="00F3088E">
              <w:rPr>
                <w:rFonts w:cstheme="minorHAnsi"/>
              </w:rPr>
              <w:t>dužnosnika</w:t>
            </w:r>
            <w:r w:rsidR="001A44C9">
              <w:rPr>
                <w:rFonts w:cstheme="minorHAnsi"/>
              </w:rPr>
              <w:t xml:space="preserve"> Ž</w:t>
            </w:r>
            <w:r w:rsidR="002B6F24">
              <w:rPr>
                <w:rFonts w:cstheme="minorHAnsi"/>
              </w:rPr>
              <w:t>upanijskog državnog odvjetništva</w:t>
            </w:r>
            <w:r w:rsidR="001A44C9">
              <w:rPr>
                <w:rFonts w:cstheme="minorHAnsi"/>
              </w:rPr>
              <w:t xml:space="preserve"> u Vukovaru ne živi u mjestu sjedišta toga odvjetništva</w:t>
            </w:r>
            <w:r w:rsidR="00F3088E">
              <w:rPr>
                <w:rFonts w:cstheme="minorHAnsi"/>
              </w:rPr>
              <w:t xml:space="preserve">. </w:t>
            </w:r>
          </w:p>
        </w:tc>
        <w:tc>
          <w:tcPr>
            <w:tcW w:w="1622" w:type="pct"/>
          </w:tcPr>
          <w:p w:rsidR="00750FAB" w:rsidRDefault="00750FAB" w:rsidP="001254F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Prijedlog se ne prihvaća. </w:t>
            </w:r>
          </w:p>
          <w:p w:rsidR="00876DC1" w:rsidRPr="00876DC1" w:rsidRDefault="00876DC1" w:rsidP="001254FC">
            <w:pPr>
              <w:jc w:val="both"/>
              <w:rPr>
                <w:rFonts w:cstheme="minorHAnsi"/>
              </w:rPr>
            </w:pPr>
            <w:r w:rsidRPr="00876DC1">
              <w:rPr>
                <w:rFonts w:cstheme="minorHAnsi"/>
              </w:rPr>
              <w:t>Upućuje se na argumentaciju</w:t>
            </w:r>
            <w:r>
              <w:rPr>
                <w:rFonts w:cstheme="minorHAnsi"/>
              </w:rPr>
              <w:t xml:space="preserve"> </w:t>
            </w:r>
            <w:r w:rsidR="00F113A2">
              <w:rPr>
                <w:rFonts w:cstheme="minorHAnsi"/>
              </w:rPr>
              <w:t>navedenu</w:t>
            </w:r>
            <w:r>
              <w:rPr>
                <w:rFonts w:cstheme="minorHAnsi"/>
              </w:rPr>
              <w:t xml:space="preserve"> uz </w:t>
            </w:r>
            <w:r w:rsidR="00997A23">
              <w:rPr>
                <w:rFonts w:cstheme="minorHAnsi"/>
              </w:rPr>
              <w:t>odgovarajuć</w:t>
            </w:r>
            <w:r w:rsidR="00A25B12">
              <w:rPr>
                <w:rFonts w:cstheme="minorHAnsi"/>
              </w:rPr>
              <w:t>i</w:t>
            </w:r>
            <w:r w:rsidR="00997A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prijedlog i primjedb</w:t>
            </w:r>
            <w:r w:rsidR="00A25B12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D</w:t>
            </w:r>
            <w:r w:rsidR="006A58D3">
              <w:rPr>
                <w:rFonts w:cstheme="minorHAnsi"/>
              </w:rPr>
              <w:t>ržavnog odvjetništva Republike Hrvatske</w:t>
            </w:r>
            <w:r>
              <w:rPr>
                <w:rFonts w:cstheme="minorHAnsi"/>
              </w:rPr>
              <w:t>.</w:t>
            </w:r>
          </w:p>
          <w:p w:rsidR="00750FAB" w:rsidRPr="0003692F" w:rsidRDefault="00750FAB" w:rsidP="00750FAB">
            <w:pPr>
              <w:rPr>
                <w:rFonts w:cstheme="minorHAnsi"/>
                <w:b/>
              </w:rPr>
            </w:pPr>
          </w:p>
        </w:tc>
      </w:tr>
      <w:tr w:rsidR="00750FAB" w:rsidRPr="003A3FDF" w:rsidTr="000D46B5">
        <w:trPr>
          <w:trHeight w:val="200"/>
        </w:trPr>
        <w:tc>
          <w:tcPr>
            <w:tcW w:w="287" w:type="pct"/>
            <w:vMerge/>
            <w:vAlign w:val="center"/>
          </w:tcPr>
          <w:p w:rsidR="00750FAB" w:rsidRPr="003A3FDF" w:rsidRDefault="00750FAB" w:rsidP="00501A82">
            <w:pPr>
              <w:rPr>
                <w:rFonts w:cstheme="minorHAnsi"/>
                <w:highlight w:val="yellow"/>
              </w:rPr>
            </w:pPr>
          </w:p>
        </w:tc>
        <w:tc>
          <w:tcPr>
            <w:tcW w:w="848" w:type="pct"/>
            <w:vMerge/>
            <w:vAlign w:val="center"/>
          </w:tcPr>
          <w:p w:rsidR="00750FAB" w:rsidRPr="003A3FDF" w:rsidRDefault="00750FAB" w:rsidP="00501A82">
            <w:pPr>
              <w:rPr>
                <w:rFonts w:cstheme="minorHAnsi"/>
                <w:highlight w:val="yellow"/>
              </w:rPr>
            </w:pPr>
          </w:p>
        </w:tc>
        <w:tc>
          <w:tcPr>
            <w:tcW w:w="748" w:type="pct"/>
            <w:vAlign w:val="center"/>
          </w:tcPr>
          <w:p w:rsidR="00750FAB" w:rsidRPr="003A3FDF" w:rsidRDefault="000C6952" w:rsidP="00BB2F6E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č</w:t>
            </w:r>
            <w:r w:rsidRPr="000C6952">
              <w:rPr>
                <w:rFonts w:cstheme="minorHAnsi"/>
              </w:rPr>
              <w:t>l. 3.</w:t>
            </w:r>
            <w:r>
              <w:rPr>
                <w:rFonts w:cstheme="minorHAnsi"/>
              </w:rPr>
              <w:t xml:space="preserve"> Nacrta Pravilnika</w:t>
            </w:r>
          </w:p>
        </w:tc>
        <w:tc>
          <w:tcPr>
            <w:tcW w:w="1495" w:type="pct"/>
            <w:vAlign w:val="center"/>
          </w:tcPr>
          <w:p w:rsidR="00750FAB" w:rsidRPr="003A3FDF" w:rsidRDefault="000C6952" w:rsidP="000D46B5">
            <w:pPr>
              <w:jc w:val="both"/>
              <w:rPr>
                <w:rFonts w:cstheme="minorHAnsi"/>
                <w:highlight w:val="yellow"/>
              </w:rPr>
            </w:pPr>
            <w:r w:rsidRPr="000C6952">
              <w:rPr>
                <w:rFonts w:cstheme="minorHAnsi"/>
              </w:rPr>
              <w:t>Predlaže se nakade povećati</w:t>
            </w:r>
            <w:r w:rsidR="009D3662">
              <w:rPr>
                <w:rFonts w:cstheme="minorHAnsi"/>
              </w:rPr>
              <w:t xml:space="preserve"> jer predložena iznimno niska naknada nije proporcionalna odgovornosti posla koji se obavlja tijekom dežurstva, a ne uvažava</w:t>
            </w:r>
            <w:r w:rsidR="000D46B5">
              <w:rPr>
                <w:rFonts w:cstheme="minorHAnsi"/>
              </w:rPr>
              <w:t>ju se</w:t>
            </w:r>
            <w:r w:rsidR="009D3662">
              <w:rPr>
                <w:rFonts w:cstheme="minorHAnsi"/>
              </w:rPr>
              <w:t xml:space="preserve"> ni uvjet</w:t>
            </w:r>
            <w:r w:rsidR="000D46B5">
              <w:rPr>
                <w:rFonts w:cstheme="minorHAnsi"/>
              </w:rPr>
              <w:t>i</w:t>
            </w:r>
            <w:r w:rsidR="009D3662">
              <w:rPr>
                <w:rFonts w:cstheme="minorHAnsi"/>
              </w:rPr>
              <w:t xml:space="preserve"> u kojima se posao obavlja (noću, na otvorenom i dr.)</w:t>
            </w:r>
          </w:p>
        </w:tc>
        <w:tc>
          <w:tcPr>
            <w:tcW w:w="1622" w:type="pct"/>
          </w:tcPr>
          <w:p w:rsidR="00750FAB" w:rsidRPr="00BD1338" w:rsidRDefault="00750FAB" w:rsidP="001254FC">
            <w:pPr>
              <w:jc w:val="both"/>
              <w:rPr>
                <w:rFonts w:cstheme="minorHAnsi"/>
                <w:b/>
              </w:rPr>
            </w:pPr>
            <w:r w:rsidRPr="00BD1338">
              <w:rPr>
                <w:rFonts w:cstheme="minorHAnsi"/>
                <w:b/>
              </w:rPr>
              <w:t>Prijedlog se prihvaća.</w:t>
            </w:r>
          </w:p>
          <w:p w:rsidR="00750FAB" w:rsidRPr="00B918DB" w:rsidRDefault="00750FAB" w:rsidP="002B6F24">
            <w:pPr>
              <w:jc w:val="both"/>
              <w:rPr>
                <w:rFonts w:cstheme="minorHAnsi"/>
              </w:rPr>
            </w:pPr>
          </w:p>
        </w:tc>
      </w:tr>
      <w:tr w:rsidR="00750FAB" w:rsidRPr="003A3FDF" w:rsidTr="000D46B5">
        <w:trPr>
          <w:trHeight w:val="598"/>
        </w:trPr>
        <w:tc>
          <w:tcPr>
            <w:tcW w:w="287" w:type="pct"/>
            <w:vMerge w:val="restart"/>
            <w:vAlign w:val="center"/>
          </w:tcPr>
          <w:p w:rsidR="000D46B5" w:rsidRDefault="000D46B5" w:rsidP="00BB2F6E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BB2F6E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BB2F6E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BB2F6E">
            <w:pPr>
              <w:jc w:val="center"/>
              <w:rPr>
                <w:rFonts w:cstheme="minorHAnsi"/>
                <w:b/>
              </w:rPr>
            </w:pPr>
          </w:p>
          <w:p w:rsidR="00750FAB" w:rsidRPr="006C44B6" w:rsidRDefault="00750FAB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7.</w:t>
            </w:r>
          </w:p>
        </w:tc>
        <w:tc>
          <w:tcPr>
            <w:tcW w:w="848" w:type="pct"/>
            <w:vMerge w:val="restart"/>
            <w:vAlign w:val="center"/>
          </w:tcPr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0D46B5" w:rsidRDefault="000D46B5" w:rsidP="000D46B5">
            <w:pPr>
              <w:jc w:val="center"/>
              <w:rPr>
                <w:rFonts w:cstheme="minorHAnsi"/>
                <w:b/>
              </w:rPr>
            </w:pPr>
          </w:p>
          <w:p w:rsidR="00750FAB" w:rsidRPr="006C44B6" w:rsidRDefault="009C4C0C" w:rsidP="000D46B5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 xml:space="preserve">Županijsko državno odvjetništvo u Velikoj </w:t>
            </w:r>
            <w:r w:rsidRPr="006C44B6">
              <w:rPr>
                <w:rFonts w:cstheme="minorHAnsi"/>
                <w:b/>
              </w:rPr>
              <w:lastRenderedPageBreak/>
              <w:t>Gorici</w:t>
            </w:r>
          </w:p>
        </w:tc>
        <w:tc>
          <w:tcPr>
            <w:tcW w:w="748" w:type="pct"/>
            <w:vAlign w:val="center"/>
          </w:tcPr>
          <w:p w:rsidR="00750FAB" w:rsidRPr="00B7564C" w:rsidRDefault="003E043B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="009C4C0C">
              <w:rPr>
                <w:rFonts w:cstheme="minorHAnsi"/>
              </w:rPr>
              <w:t>l. 1. Nacrta Pravilnika</w:t>
            </w:r>
          </w:p>
        </w:tc>
        <w:tc>
          <w:tcPr>
            <w:tcW w:w="1495" w:type="pct"/>
            <w:vAlign w:val="center"/>
          </w:tcPr>
          <w:p w:rsidR="009C4C0C" w:rsidRPr="00291D11" w:rsidRDefault="009C4C0C" w:rsidP="00291D11">
            <w:pPr>
              <w:rPr>
                <w:rFonts w:cstheme="minorHAnsi"/>
              </w:rPr>
            </w:pPr>
            <w:r w:rsidRPr="00291D11">
              <w:rPr>
                <w:rFonts w:cstheme="minorHAnsi"/>
              </w:rPr>
              <w:t>Predlaže se pasivno dežurstvo propisati kao: „</w:t>
            </w:r>
            <w:r w:rsidRPr="00291D11">
              <w:t xml:space="preserve">Pasivno dežurstvo je </w:t>
            </w:r>
            <w:r w:rsidR="00291D11" w:rsidRPr="00291D11">
              <w:t xml:space="preserve">obvezna prisutnost </w:t>
            </w:r>
            <w:r w:rsidRPr="00291D11">
              <w:t xml:space="preserve"> suca, državnog odvjetnika i za</w:t>
            </w:r>
            <w:r w:rsidR="00291D11" w:rsidRPr="00291D11">
              <w:t xml:space="preserve"> suca, državnog odvjetnika i zamjenika državnog odvjetnika </w:t>
            </w:r>
            <w:r w:rsidRPr="00291D11">
              <w:t>u mjestu sjedišta suda i državnog odvjetništva</w:t>
            </w:r>
            <w:r w:rsidR="00291D11" w:rsidRPr="00291D11">
              <w:t xml:space="preserve"> ili u mjestu prebivališta suca, državnog </w:t>
            </w:r>
            <w:r w:rsidR="00291D11" w:rsidRPr="00291D11">
              <w:lastRenderedPageBreak/>
              <w:t>odvjetnika i zamjenika državnog odvjetnika</w:t>
            </w:r>
            <w:r w:rsidR="00291D11">
              <w:t>.“</w:t>
            </w:r>
          </w:p>
        </w:tc>
        <w:tc>
          <w:tcPr>
            <w:tcW w:w="1622" w:type="pct"/>
          </w:tcPr>
          <w:p w:rsidR="00750FAB" w:rsidRDefault="00750FAB" w:rsidP="00750FAB">
            <w:pPr>
              <w:rPr>
                <w:b/>
              </w:rPr>
            </w:pPr>
            <w:r>
              <w:rPr>
                <w:b/>
              </w:rPr>
              <w:lastRenderedPageBreak/>
              <w:t>Prijedlog se ne prihvaća.</w:t>
            </w:r>
          </w:p>
          <w:p w:rsidR="000D46B5" w:rsidRPr="00876DC1" w:rsidRDefault="000D46B5" w:rsidP="000D46B5">
            <w:pPr>
              <w:jc w:val="both"/>
              <w:rPr>
                <w:rFonts w:cstheme="minorHAnsi"/>
              </w:rPr>
            </w:pPr>
            <w:r w:rsidRPr="00876DC1">
              <w:rPr>
                <w:rFonts w:cstheme="minorHAnsi"/>
              </w:rPr>
              <w:t>Upućuje se na argumentaciju</w:t>
            </w:r>
            <w:r>
              <w:rPr>
                <w:rFonts w:cstheme="minorHAnsi"/>
              </w:rPr>
              <w:t xml:space="preserve"> navedenu uz odgovarajuć</w:t>
            </w:r>
            <w:r w:rsidR="00A25B1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prijedlog i primjedb</w:t>
            </w:r>
            <w:r w:rsidR="00A25B12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6A58D3">
              <w:rPr>
                <w:rFonts w:cstheme="minorHAnsi"/>
              </w:rPr>
              <w:t>Državnog odvjetništva Republike Hrvatske</w:t>
            </w:r>
            <w:r>
              <w:rPr>
                <w:rFonts w:cstheme="minorHAnsi"/>
              </w:rPr>
              <w:t>.</w:t>
            </w:r>
          </w:p>
          <w:p w:rsidR="000D46B5" w:rsidRPr="00B918DB" w:rsidRDefault="000D46B5" w:rsidP="00750FAB">
            <w:pPr>
              <w:rPr>
                <w:rFonts w:cstheme="minorHAnsi"/>
              </w:rPr>
            </w:pPr>
          </w:p>
        </w:tc>
      </w:tr>
      <w:tr w:rsidR="00750FAB" w:rsidRPr="003A3FDF" w:rsidTr="000D46B5">
        <w:trPr>
          <w:trHeight w:val="598"/>
        </w:trPr>
        <w:tc>
          <w:tcPr>
            <w:tcW w:w="287" w:type="pct"/>
            <w:vMerge/>
            <w:vAlign w:val="center"/>
          </w:tcPr>
          <w:p w:rsidR="00750FAB" w:rsidRPr="00B7564C" w:rsidRDefault="00750FAB" w:rsidP="00501A82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750FAB" w:rsidRPr="00B7564C" w:rsidRDefault="00750FAB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750FAB" w:rsidRPr="00B7564C" w:rsidRDefault="003E043B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291D11">
              <w:rPr>
                <w:rFonts w:cstheme="minorHAnsi"/>
              </w:rPr>
              <w:t>l. 3. Nacrta Pravilnika</w:t>
            </w:r>
          </w:p>
        </w:tc>
        <w:tc>
          <w:tcPr>
            <w:tcW w:w="1495" w:type="pct"/>
            <w:vAlign w:val="center"/>
          </w:tcPr>
          <w:p w:rsidR="00750FAB" w:rsidRPr="006A58D3" w:rsidRDefault="00291D11" w:rsidP="001668EA">
            <w:pPr>
              <w:jc w:val="both"/>
              <w:rPr>
                <w:rFonts w:cstheme="minorHAnsi"/>
              </w:rPr>
            </w:pPr>
            <w:r w:rsidRPr="006A58D3">
              <w:rPr>
                <w:rFonts w:cstheme="minorHAnsi"/>
              </w:rPr>
              <w:t>Predložene naknade visinom omalovažavaju i obezvređuju rad pravosudnih dužnosnika. Predlaže se naknada u visini od 100,00kn bruto za sat aktivnog dežurstva radnim danom odnosno 160,00</w:t>
            </w:r>
            <w:r w:rsidR="00DE4B06" w:rsidRPr="006A58D3">
              <w:rPr>
                <w:rFonts w:cstheme="minorHAnsi"/>
              </w:rPr>
              <w:t xml:space="preserve"> </w:t>
            </w:r>
            <w:r w:rsidRPr="006A58D3">
              <w:rPr>
                <w:rFonts w:cstheme="minorHAnsi"/>
              </w:rPr>
              <w:t>kn u dane tjednog odmora, neradnim danom i blagdanom.</w:t>
            </w:r>
          </w:p>
        </w:tc>
        <w:tc>
          <w:tcPr>
            <w:tcW w:w="1622" w:type="pct"/>
          </w:tcPr>
          <w:p w:rsidR="006A58D3" w:rsidRDefault="006A58D3" w:rsidP="006A58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Prijedlog se djelomično prihvaća.</w:t>
            </w:r>
          </w:p>
          <w:p w:rsidR="00750FAB" w:rsidRPr="003A3FDF" w:rsidRDefault="006A58D3" w:rsidP="006A58D3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</w:t>
            </w:r>
            <w:r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se povećavaju, ali ne u predloženoj visini. Naknade se povećavaju sukladno visini osiguranih sredstava u državnom proračunu.</w:t>
            </w:r>
          </w:p>
        </w:tc>
      </w:tr>
      <w:tr w:rsidR="002162D3" w:rsidRPr="000C6236" w:rsidTr="000D46B5">
        <w:trPr>
          <w:trHeight w:val="1104"/>
        </w:trPr>
        <w:tc>
          <w:tcPr>
            <w:tcW w:w="287" w:type="pct"/>
            <w:vMerge w:val="restart"/>
            <w:vAlign w:val="center"/>
          </w:tcPr>
          <w:p w:rsidR="002162D3" w:rsidRPr="006C44B6" w:rsidRDefault="002162D3" w:rsidP="00BB2F6E">
            <w:pPr>
              <w:jc w:val="center"/>
              <w:rPr>
                <w:rFonts w:cstheme="minorHAnsi"/>
                <w:b/>
                <w:highlight w:val="yellow"/>
              </w:rPr>
            </w:pPr>
            <w:r w:rsidRPr="006C44B6">
              <w:rPr>
                <w:rFonts w:cstheme="minorHAnsi"/>
                <w:b/>
              </w:rPr>
              <w:t>8.</w:t>
            </w:r>
          </w:p>
        </w:tc>
        <w:tc>
          <w:tcPr>
            <w:tcW w:w="848" w:type="pct"/>
            <w:vMerge w:val="restart"/>
            <w:vAlign w:val="center"/>
          </w:tcPr>
          <w:p w:rsidR="002162D3" w:rsidRPr="006C44B6" w:rsidRDefault="002162D3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Udruga hrvatskih sudaca</w:t>
            </w:r>
          </w:p>
        </w:tc>
        <w:tc>
          <w:tcPr>
            <w:tcW w:w="748" w:type="pct"/>
            <w:vAlign w:val="center"/>
          </w:tcPr>
          <w:p w:rsidR="002162D3" w:rsidRPr="00B7564C" w:rsidRDefault="002162D3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Nacrta Pravilnika</w:t>
            </w:r>
          </w:p>
        </w:tc>
        <w:tc>
          <w:tcPr>
            <w:tcW w:w="1495" w:type="pct"/>
            <w:vAlign w:val="center"/>
          </w:tcPr>
          <w:p w:rsidR="002162D3" w:rsidRPr="00B7564C" w:rsidRDefault="002162D3" w:rsidP="007111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Predlaže se pasivno dežurstvo propisati kao stalnu pripravnost kod kuće odnosno u stanu.</w:t>
            </w:r>
          </w:p>
        </w:tc>
        <w:tc>
          <w:tcPr>
            <w:tcW w:w="1622" w:type="pct"/>
          </w:tcPr>
          <w:p w:rsidR="00A64650" w:rsidRDefault="002162D3" w:rsidP="00A64650">
            <w:pPr>
              <w:jc w:val="both"/>
              <w:rPr>
                <w:rFonts w:cstheme="minorHAnsi"/>
              </w:rPr>
            </w:pPr>
            <w:r w:rsidRPr="00B7564C">
              <w:rPr>
                <w:rFonts w:cstheme="minorHAnsi"/>
                <w:b/>
              </w:rPr>
              <w:t>Pri</w:t>
            </w:r>
            <w:r>
              <w:rPr>
                <w:rFonts w:cstheme="minorHAnsi"/>
                <w:b/>
              </w:rPr>
              <w:t>jedlog</w:t>
            </w:r>
            <w:r w:rsidRPr="00B7564C">
              <w:rPr>
                <w:rFonts w:cstheme="minorHAnsi"/>
                <w:b/>
              </w:rPr>
              <w:t xml:space="preserve"> se ne prihvaća</w:t>
            </w:r>
            <w:r w:rsidR="00A64650">
              <w:rPr>
                <w:rFonts w:cstheme="minorHAnsi"/>
                <w:b/>
              </w:rPr>
              <w:t>.</w:t>
            </w:r>
            <w:r w:rsidR="00537F8D" w:rsidRPr="00994604">
              <w:rPr>
                <w:rFonts w:cstheme="minorHAnsi"/>
              </w:rPr>
              <w:t xml:space="preserve"> </w:t>
            </w:r>
          </w:p>
          <w:p w:rsidR="006A58D3" w:rsidRPr="00876DC1" w:rsidRDefault="00A64650" w:rsidP="006A58D3">
            <w:pPr>
              <w:jc w:val="both"/>
              <w:rPr>
                <w:rFonts w:cstheme="minorHAnsi"/>
              </w:rPr>
            </w:pPr>
            <w:r w:rsidRPr="00876DC1">
              <w:rPr>
                <w:rFonts w:cstheme="minorHAnsi"/>
              </w:rPr>
              <w:t>Upućuje se na argumentaciju</w:t>
            </w:r>
            <w:r>
              <w:rPr>
                <w:rFonts w:cstheme="minorHAnsi"/>
              </w:rPr>
              <w:t xml:space="preserve"> navedenu uz odgovarajući prijedlog i primjedbu </w:t>
            </w:r>
            <w:r w:rsidR="006A58D3">
              <w:rPr>
                <w:rFonts w:cstheme="minorHAnsi"/>
              </w:rPr>
              <w:t>Državnog odvjetništva Republike Hrvatske.</w:t>
            </w:r>
          </w:p>
          <w:p w:rsidR="002162D3" w:rsidRPr="00B7564C" w:rsidRDefault="002162D3" w:rsidP="006A58D3">
            <w:pPr>
              <w:jc w:val="both"/>
              <w:rPr>
                <w:rFonts w:cstheme="minorHAnsi"/>
              </w:rPr>
            </w:pPr>
          </w:p>
        </w:tc>
      </w:tr>
      <w:tr w:rsidR="002162D3" w:rsidRPr="000C6236" w:rsidTr="000D46B5">
        <w:trPr>
          <w:trHeight w:val="1104"/>
        </w:trPr>
        <w:tc>
          <w:tcPr>
            <w:tcW w:w="287" w:type="pct"/>
            <w:vMerge/>
            <w:vAlign w:val="center"/>
          </w:tcPr>
          <w:p w:rsidR="002162D3" w:rsidRPr="00B7564C" w:rsidRDefault="002162D3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2162D3" w:rsidRDefault="002162D3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2162D3" w:rsidRDefault="002162D3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2162D3" w:rsidRDefault="002162D3" w:rsidP="00A876B5">
            <w:pPr>
              <w:jc w:val="both"/>
              <w:rPr>
                <w:rFonts w:cstheme="minorHAnsi"/>
              </w:rPr>
            </w:pPr>
            <w:r w:rsidRPr="006A58D3">
              <w:rPr>
                <w:rFonts w:cstheme="minorHAnsi"/>
              </w:rPr>
              <w:t>Predlaže se povećati naknade za aktivno dežurstvo, i to 112,50 kn bruto po satu radnim danom, a 166,66 kn bruto</w:t>
            </w:r>
            <w:r>
              <w:rPr>
                <w:rFonts w:cstheme="minorHAnsi"/>
              </w:rPr>
              <w:t xml:space="preserve"> po satu u dane tjednog odmora, neradne dane i državne blagdane. Predlaže se povećati i naknadu za stalnu pripravnost na 7,50kn bruto po satu.</w:t>
            </w:r>
          </w:p>
        </w:tc>
        <w:tc>
          <w:tcPr>
            <w:tcW w:w="1622" w:type="pct"/>
          </w:tcPr>
          <w:p w:rsidR="006A58D3" w:rsidRDefault="006A58D3" w:rsidP="006A58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Prijedlog se djelomično prihvaća.</w:t>
            </w:r>
          </w:p>
          <w:p w:rsidR="002162D3" w:rsidRPr="00106840" w:rsidRDefault="006A58D3" w:rsidP="006A58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se povećavaju, ali ne u predloženoj visini. Naknade se povećavaju sukladno visini osiguranih sredstava u državnom proračunu.</w:t>
            </w:r>
          </w:p>
        </w:tc>
      </w:tr>
      <w:tr w:rsidR="000A716F" w:rsidRPr="000C6236" w:rsidTr="000D46B5">
        <w:trPr>
          <w:trHeight w:val="396"/>
        </w:trPr>
        <w:tc>
          <w:tcPr>
            <w:tcW w:w="287" w:type="pct"/>
            <w:vMerge w:val="restart"/>
            <w:vAlign w:val="center"/>
          </w:tcPr>
          <w:p w:rsidR="000A716F" w:rsidRPr="006C44B6" w:rsidRDefault="000A716F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9.</w:t>
            </w:r>
          </w:p>
        </w:tc>
        <w:tc>
          <w:tcPr>
            <w:tcW w:w="848" w:type="pct"/>
            <w:vMerge w:val="restart"/>
            <w:vAlign w:val="center"/>
          </w:tcPr>
          <w:p w:rsidR="000A716F" w:rsidRPr="006C44B6" w:rsidRDefault="000A716F" w:rsidP="002162D3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Županijski i Prekršajni sud u Varaždinu</w:t>
            </w:r>
          </w:p>
        </w:tc>
        <w:tc>
          <w:tcPr>
            <w:tcW w:w="748" w:type="pct"/>
            <w:vAlign w:val="center"/>
          </w:tcPr>
          <w:p w:rsidR="000A716F" w:rsidRPr="001D18FD" w:rsidRDefault="000A716F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1. Nacrta Pravilnika</w:t>
            </w:r>
          </w:p>
        </w:tc>
        <w:tc>
          <w:tcPr>
            <w:tcW w:w="1495" w:type="pct"/>
            <w:vAlign w:val="center"/>
          </w:tcPr>
          <w:p w:rsidR="000A716F" w:rsidRPr="001D18FD" w:rsidRDefault="000A716F" w:rsidP="00D24C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se ne koristiti pojmove aktivno i pasivno dežurstvo jer je dežurstvo pripravnost suca za rad. Naime, obvezatna prisutnost u mjestu sjedišta suda, kako se predlaže propisati, ne podrazumijeva ujedno i pripravnost za rad suca što dežurstvo jest. </w:t>
            </w:r>
          </w:p>
        </w:tc>
        <w:tc>
          <w:tcPr>
            <w:tcW w:w="1622" w:type="pct"/>
          </w:tcPr>
          <w:p w:rsidR="000A716F" w:rsidRDefault="000A716F" w:rsidP="000B701B">
            <w:pPr>
              <w:jc w:val="both"/>
              <w:rPr>
                <w:rFonts w:cstheme="minorHAnsi"/>
                <w:b/>
              </w:rPr>
            </w:pPr>
            <w:r w:rsidRPr="001D18FD">
              <w:rPr>
                <w:rFonts w:cstheme="minorHAnsi"/>
                <w:b/>
              </w:rPr>
              <w:t>Primjedba se ne prihvaća</w:t>
            </w:r>
            <w:r>
              <w:rPr>
                <w:rFonts w:cstheme="minorHAnsi"/>
                <w:b/>
              </w:rPr>
              <w:t xml:space="preserve">. </w:t>
            </w:r>
          </w:p>
          <w:p w:rsidR="000A716F" w:rsidRPr="00DE2F31" w:rsidRDefault="002F6BD7" w:rsidP="0025329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Predmet n</w:t>
            </w:r>
            <w:r w:rsidR="000A716F">
              <w:rPr>
                <w:rFonts w:cstheme="minorHAnsi"/>
              </w:rPr>
              <w:t>acrt</w:t>
            </w:r>
            <w:r>
              <w:rPr>
                <w:rFonts w:cstheme="minorHAnsi"/>
              </w:rPr>
              <w:t>a</w:t>
            </w:r>
            <w:r w:rsidR="000A716F">
              <w:rPr>
                <w:rFonts w:cstheme="minorHAnsi"/>
              </w:rPr>
              <w:t xml:space="preserve"> Pravilnika </w:t>
            </w:r>
            <w:r>
              <w:rPr>
                <w:rFonts w:cstheme="minorHAnsi"/>
              </w:rPr>
              <w:t>je</w:t>
            </w:r>
            <w:r w:rsidR="000A716F">
              <w:rPr>
                <w:rFonts w:cstheme="minorHAnsi"/>
              </w:rPr>
              <w:t xml:space="preserve"> način obračuna i visin</w:t>
            </w:r>
            <w:r>
              <w:rPr>
                <w:rFonts w:cstheme="minorHAnsi"/>
              </w:rPr>
              <w:t>a</w:t>
            </w:r>
            <w:r w:rsidR="000A716F">
              <w:rPr>
                <w:rFonts w:cstheme="minorHAnsi"/>
              </w:rPr>
              <w:t xml:space="preserve"> naknade za dežurstvo. Što je dežurstvo i na koji se način obavlja propisano je </w:t>
            </w:r>
            <w:r w:rsidR="006A58D3">
              <w:t>S</w:t>
            </w:r>
            <w:r w:rsidR="006A58D3" w:rsidRPr="00903396">
              <w:t>u</w:t>
            </w:r>
            <w:r w:rsidR="006A58D3">
              <w:t>d</w:t>
            </w:r>
            <w:r w:rsidR="006A58D3" w:rsidRPr="00903396">
              <w:t>ski</w:t>
            </w:r>
            <w:r w:rsidR="006A58D3">
              <w:t>m</w:t>
            </w:r>
            <w:r w:rsidR="006A58D3" w:rsidRPr="00903396">
              <w:t xml:space="preserve"> poslovnik</w:t>
            </w:r>
            <w:r w:rsidR="006A58D3">
              <w:t>om („Narodne novine“, broj 37/14, 49/14, 8/15) i Poslovnikom državnog odvjetništva („Narodne novine, broj 5/14)</w:t>
            </w:r>
            <w:r>
              <w:t>. Tim je podzakonskim aktima</w:t>
            </w:r>
            <w:r w:rsidR="006A58D3">
              <w:t xml:space="preserve"> propisano na koji način se organizira dežurstvo u sudu i d</w:t>
            </w:r>
            <w:r>
              <w:t xml:space="preserve">ržavnom odvjetništvu </w:t>
            </w:r>
            <w:r w:rsidR="0025329A">
              <w:t xml:space="preserve">koje odredbe </w:t>
            </w:r>
            <w:r>
              <w:t xml:space="preserve">onda slijedi i </w:t>
            </w:r>
            <w:r w:rsidR="006A58D3">
              <w:t xml:space="preserve">Nacrt Pravilnika </w:t>
            </w:r>
            <w:r>
              <w:t xml:space="preserve">u svrhu </w:t>
            </w:r>
            <w:r w:rsidR="0025329A">
              <w:t xml:space="preserve">određivanja </w:t>
            </w:r>
            <w:r>
              <w:t>visine naknada za dežurstvo</w:t>
            </w:r>
            <w:r w:rsidR="0025329A">
              <w:t>.</w:t>
            </w:r>
            <w:r>
              <w:t xml:space="preserve"> </w:t>
            </w:r>
          </w:p>
        </w:tc>
      </w:tr>
      <w:tr w:rsidR="000A716F" w:rsidRPr="000C6236" w:rsidTr="000D46B5">
        <w:trPr>
          <w:trHeight w:val="396"/>
        </w:trPr>
        <w:tc>
          <w:tcPr>
            <w:tcW w:w="287" w:type="pct"/>
            <w:vMerge/>
            <w:vAlign w:val="center"/>
          </w:tcPr>
          <w:p w:rsidR="000A716F" w:rsidRPr="001D18FD" w:rsidRDefault="000A716F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0A716F" w:rsidRPr="001D18FD" w:rsidRDefault="000A716F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0A716F" w:rsidRPr="001D18FD" w:rsidRDefault="000A716F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0A716F" w:rsidRPr="0025329A" w:rsidRDefault="000A716F" w:rsidP="008B3715">
            <w:pPr>
              <w:jc w:val="both"/>
              <w:rPr>
                <w:rFonts w:cstheme="minorHAnsi"/>
              </w:rPr>
            </w:pPr>
            <w:r w:rsidRPr="0025329A">
              <w:rPr>
                <w:rFonts w:cstheme="minorHAnsi"/>
              </w:rPr>
              <w:t xml:space="preserve">Predlaže se naknade povećati. </w:t>
            </w:r>
          </w:p>
          <w:p w:rsidR="0025329A" w:rsidRDefault="0025329A" w:rsidP="000A716F">
            <w:pPr>
              <w:jc w:val="both"/>
              <w:rPr>
                <w:rFonts w:cstheme="minorHAnsi"/>
              </w:rPr>
            </w:pPr>
          </w:p>
          <w:p w:rsidR="000A716F" w:rsidRDefault="000A716F" w:rsidP="000A716F">
            <w:pPr>
              <w:jc w:val="both"/>
              <w:rPr>
                <w:rFonts w:cstheme="minorHAnsi"/>
              </w:rPr>
            </w:pPr>
            <w:r w:rsidRPr="0025329A">
              <w:rPr>
                <w:rFonts w:cstheme="minorHAnsi"/>
              </w:rPr>
              <w:t>Stavlja se primjedba da su i važeći</w:t>
            </w:r>
            <w:r>
              <w:rPr>
                <w:rFonts w:cstheme="minorHAnsi"/>
              </w:rPr>
              <w:t xml:space="preserve"> Pravilnik</w:t>
            </w:r>
            <w:r w:rsidRPr="009D3662">
              <w:t xml:space="preserve"> o naknadama za dežurstva sudaca, državnih odvjetnika i zamjenika državnih odvjetnika</w:t>
            </w:r>
            <w:r>
              <w:rPr>
                <w:rFonts w:cstheme="minorHAnsi"/>
              </w:rPr>
              <w:t xml:space="preserve">  i  </w:t>
            </w:r>
            <w:r>
              <w:rPr>
                <w:rFonts w:cstheme="minorHAnsi"/>
              </w:rPr>
              <w:lastRenderedPageBreak/>
              <w:t>Nacrt Pravilnika protivni Zakonu o radu. Naime, tijekom tzv. aktivnog dežurstva suci rade isti posao kao i za vrijeme redovnog radnog vremena pa im za takav rad treba isplatiti plaću, a ne naknadu. Sudac županijskog suda po satu redovnog radnog vremena prima 128,02kn bruto, a sudac prekršajnog suda 63,00kn pa bi barem toliko morao biti plaćen kada radi prekovremeno, u dane tjednog odmora i blagdane. Visina naknade koja se predlaže propisati omalovažava rad sudaca.</w:t>
            </w:r>
          </w:p>
          <w:p w:rsidR="000A716F" w:rsidRPr="001D18FD" w:rsidRDefault="000A716F" w:rsidP="000A7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Naknada se može propisati samo za pripravnost za rad, ali se predlaže propisati ju barem u iznosu 10% od satnice u redovno radno vrijeme.</w:t>
            </w:r>
          </w:p>
        </w:tc>
        <w:tc>
          <w:tcPr>
            <w:tcW w:w="1622" w:type="pct"/>
          </w:tcPr>
          <w:p w:rsidR="0025329A" w:rsidRDefault="0025329A" w:rsidP="0025329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Prijedlog se djelomično prihvaća.</w:t>
            </w:r>
          </w:p>
          <w:p w:rsidR="00106840" w:rsidRDefault="0025329A" w:rsidP="0025329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</w:t>
            </w:r>
            <w:r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se povećavaju, ali ne u predloženoj visini. Naknade se povećavaju sukladno visini osiguranih sredstava u državnom proračunu.</w:t>
            </w:r>
          </w:p>
          <w:p w:rsidR="0025329A" w:rsidRDefault="0025329A" w:rsidP="00106840">
            <w:pPr>
              <w:jc w:val="both"/>
              <w:rPr>
                <w:rFonts w:cstheme="minorHAnsi"/>
                <w:b/>
              </w:rPr>
            </w:pPr>
          </w:p>
          <w:p w:rsidR="0025329A" w:rsidRDefault="00106840" w:rsidP="0010684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Primjedba </w:t>
            </w:r>
            <w:r w:rsidR="0025329A">
              <w:rPr>
                <w:rFonts w:cstheme="minorHAnsi"/>
                <w:b/>
              </w:rPr>
              <w:t xml:space="preserve">se ne prihvaća. </w:t>
            </w:r>
          </w:p>
          <w:p w:rsidR="000A716F" w:rsidRPr="002E7CE5" w:rsidRDefault="0025329A" w:rsidP="003B4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Prava sudaca propisana su Zakonom o sudovima. Zakon o sudovima (članak 135 stavak 2.) ovlašćuje m</w:t>
            </w:r>
            <w:r w:rsidR="00106840" w:rsidRPr="00106840">
              <w:rPr>
                <w:rFonts w:cstheme="minorHAnsi"/>
              </w:rPr>
              <w:t>inist</w:t>
            </w:r>
            <w:r>
              <w:rPr>
                <w:rFonts w:cstheme="minorHAnsi"/>
              </w:rPr>
              <w:t>ra</w:t>
            </w:r>
            <w:r w:rsidR="00106840" w:rsidRPr="00106840">
              <w:rPr>
                <w:rFonts w:cstheme="minorHAnsi"/>
              </w:rPr>
              <w:t xml:space="preserve"> pravosuđa </w:t>
            </w:r>
            <w:r>
              <w:rPr>
                <w:rFonts w:cstheme="minorHAnsi"/>
              </w:rPr>
              <w:t xml:space="preserve">da propiše visinu </w:t>
            </w:r>
            <w:r w:rsidR="003B493B">
              <w:rPr>
                <w:rFonts w:cstheme="minorHAnsi"/>
              </w:rPr>
              <w:t xml:space="preserve">ovih </w:t>
            </w:r>
            <w:r>
              <w:rPr>
                <w:rFonts w:cstheme="minorHAnsi"/>
              </w:rPr>
              <w:t>naknada</w:t>
            </w:r>
            <w:r w:rsidR="003B493B">
              <w:rPr>
                <w:rFonts w:cstheme="minorHAnsi"/>
              </w:rPr>
              <w:t>.</w:t>
            </w:r>
            <w:r w:rsidR="003B493B" w:rsidRPr="002E7CE5">
              <w:rPr>
                <w:rFonts w:cstheme="minorHAnsi"/>
              </w:rPr>
              <w:t xml:space="preserve"> </w:t>
            </w:r>
          </w:p>
        </w:tc>
      </w:tr>
      <w:tr w:rsidR="000A716F" w:rsidRPr="000C6236" w:rsidTr="000D46B5">
        <w:trPr>
          <w:trHeight w:val="396"/>
        </w:trPr>
        <w:tc>
          <w:tcPr>
            <w:tcW w:w="287" w:type="pct"/>
            <w:vMerge/>
            <w:vAlign w:val="center"/>
          </w:tcPr>
          <w:p w:rsidR="000A716F" w:rsidRPr="001D18FD" w:rsidRDefault="000A716F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0A716F" w:rsidRPr="001D18FD" w:rsidRDefault="000A716F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0A716F" w:rsidRDefault="00466EA1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0A716F">
              <w:rPr>
                <w:rFonts w:cstheme="minorHAnsi"/>
              </w:rPr>
              <w:t>l. 3. Nacrta Pravilnika</w:t>
            </w:r>
          </w:p>
        </w:tc>
        <w:tc>
          <w:tcPr>
            <w:tcW w:w="1495" w:type="pct"/>
            <w:vAlign w:val="center"/>
          </w:tcPr>
          <w:p w:rsidR="000A716F" w:rsidRDefault="000A716F" w:rsidP="0061147C">
            <w:pPr>
              <w:jc w:val="both"/>
              <w:rPr>
                <w:rFonts w:cstheme="minorHAnsi"/>
              </w:rPr>
            </w:pPr>
            <w:r w:rsidRPr="00123EA9">
              <w:rPr>
                <w:rFonts w:cstheme="minorHAnsi"/>
              </w:rPr>
              <w:t xml:space="preserve">Predlaže se jasno propisati </w:t>
            </w:r>
            <w:r w:rsidR="0061147C" w:rsidRPr="00123EA9">
              <w:rPr>
                <w:rFonts w:cstheme="minorHAnsi"/>
              </w:rPr>
              <w:t xml:space="preserve">ulazi </w:t>
            </w:r>
            <w:r w:rsidRPr="00123EA9">
              <w:rPr>
                <w:rFonts w:cstheme="minorHAnsi"/>
              </w:rPr>
              <w:t xml:space="preserve">li vrijeme putovanja do mjesta rada </w:t>
            </w:r>
            <w:r w:rsidR="00A64650" w:rsidRPr="00123EA9">
              <w:rPr>
                <w:rFonts w:cstheme="minorHAnsi"/>
              </w:rPr>
              <w:t>i</w:t>
            </w:r>
            <w:r w:rsidRPr="00123EA9">
              <w:rPr>
                <w:rFonts w:cstheme="minorHAnsi"/>
              </w:rPr>
              <w:t xml:space="preserve"> obrnuto u sate aktivnog dežurstva.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622" w:type="pct"/>
          </w:tcPr>
          <w:p w:rsidR="00123EA9" w:rsidRPr="006632C7" w:rsidRDefault="006632C7" w:rsidP="006632C7">
            <w:pPr>
              <w:jc w:val="both"/>
              <w:rPr>
                <w:rFonts w:cstheme="minorHAnsi"/>
              </w:rPr>
            </w:pPr>
            <w:r w:rsidRPr="006632C7">
              <w:rPr>
                <w:rFonts w:cstheme="minorHAnsi"/>
              </w:rPr>
              <w:t>Upućuje se na argumentaciju navedenu uz odgovarajuću primjedbu i prijedlog Županijskog državnog odvjetništva u Zagrebu.</w:t>
            </w:r>
          </w:p>
        </w:tc>
      </w:tr>
      <w:tr w:rsidR="00BB2F6E" w:rsidRPr="000C6236" w:rsidTr="000D46B5">
        <w:trPr>
          <w:trHeight w:val="396"/>
        </w:trPr>
        <w:tc>
          <w:tcPr>
            <w:tcW w:w="287" w:type="pct"/>
            <w:vMerge w:val="restart"/>
            <w:vAlign w:val="center"/>
          </w:tcPr>
          <w:p w:rsidR="00BB2F6E" w:rsidRPr="006C44B6" w:rsidRDefault="00BB2F6E" w:rsidP="00BB2F6E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10.</w:t>
            </w:r>
          </w:p>
        </w:tc>
        <w:tc>
          <w:tcPr>
            <w:tcW w:w="848" w:type="pct"/>
            <w:vMerge w:val="restart"/>
            <w:vAlign w:val="center"/>
          </w:tcPr>
          <w:p w:rsidR="00BB2F6E" w:rsidRPr="006C44B6" w:rsidRDefault="00BB2F6E" w:rsidP="000A716F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Prekršajni sud u Zagrebu</w:t>
            </w:r>
          </w:p>
        </w:tc>
        <w:tc>
          <w:tcPr>
            <w:tcW w:w="748" w:type="pct"/>
            <w:vAlign w:val="center"/>
          </w:tcPr>
          <w:p w:rsidR="00BB2F6E" w:rsidRDefault="00466EA1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BB2F6E">
              <w:rPr>
                <w:rFonts w:cstheme="minorHAnsi"/>
              </w:rPr>
              <w:t>l. 1. Nacrta Pravilnika</w:t>
            </w:r>
          </w:p>
        </w:tc>
        <w:tc>
          <w:tcPr>
            <w:tcW w:w="1495" w:type="pct"/>
            <w:vAlign w:val="center"/>
          </w:tcPr>
          <w:p w:rsidR="00BB2F6E" w:rsidRDefault="00BB2F6E" w:rsidP="008B37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Predlaže se pasivno dežurstvo propisati kao stalnu pripravnost kod kuće odnosno u stanu.</w:t>
            </w:r>
          </w:p>
        </w:tc>
        <w:tc>
          <w:tcPr>
            <w:tcW w:w="1622" w:type="pct"/>
          </w:tcPr>
          <w:p w:rsidR="00A64650" w:rsidRDefault="00A64650" w:rsidP="00A64650">
            <w:pPr>
              <w:jc w:val="both"/>
              <w:rPr>
                <w:rFonts w:cstheme="minorHAnsi"/>
              </w:rPr>
            </w:pPr>
            <w:r w:rsidRPr="00B7564C">
              <w:rPr>
                <w:rFonts w:cstheme="minorHAnsi"/>
                <w:b/>
              </w:rPr>
              <w:t>Pri</w:t>
            </w:r>
            <w:r>
              <w:rPr>
                <w:rFonts w:cstheme="minorHAnsi"/>
                <w:b/>
              </w:rPr>
              <w:t>jedlog</w:t>
            </w:r>
            <w:r w:rsidRPr="00B7564C">
              <w:rPr>
                <w:rFonts w:cstheme="minorHAnsi"/>
                <w:b/>
              </w:rPr>
              <w:t xml:space="preserve"> se ne prihvaća</w:t>
            </w:r>
            <w:r>
              <w:rPr>
                <w:rFonts w:cstheme="minorHAnsi"/>
                <w:b/>
              </w:rPr>
              <w:t>.</w:t>
            </w:r>
            <w:r w:rsidRPr="00994604">
              <w:rPr>
                <w:rFonts w:cstheme="minorHAnsi"/>
              </w:rPr>
              <w:t xml:space="preserve"> </w:t>
            </w:r>
          </w:p>
          <w:p w:rsidR="00A64650" w:rsidRPr="00876DC1" w:rsidRDefault="00A64650" w:rsidP="00A64650">
            <w:pPr>
              <w:jc w:val="both"/>
              <w:rPr>
                <w:rFonts w:cstheme="minorHAnsi"/>
              </w:rPr>
            </w:pPr>
            <w:r w:rsidRPr="00876DC1">
              <w:rPr>
                <w:rFonts w:cstheme="minorHAnsi"/>
              </w:rPr>
              <w:t>Upućuje se na argumentaciju</w:t>
            </w:r>
            <w:r>
              <w:rPr>
                <w:rFonts w:cstheme="minorHAnsi"/>
              </w:rPr>
              <w:t xml:space="preserve"> navedenu uz odgovarajući prijedlog i primjedbu D</w:t>
            </w:r>
            <w:r w:rsidR="001654C1">
              <w:rPr>
                <w:rFonts w:cstheme="minorHAnsi"/>
              </w:rPr>
              <w:t>ržavnog odvjetništva Republike Hrvatske</w:t>
            </w:r>
            <w:r>
              <w:rPr>
                <w:rFonts w:cstheme="minorHAnsi"/>
              </w:rPr>
              <w:t>.</w:t>
            </w:r>
          </w:p>
          <w:p w:rsidR="00BB2F6E" w:rsidRDefault="00BB2F6E" w:rsidP="001D18FD">
            <w:pPr>
              <w:rPr>
                <w:rFonts w:cstheme="minorHAnsi"/>
                <w:b/>
              </w:rPr>
            </w:pPr>
          </w:p>
        </w:tc>
      </w:tr>
      <w:tr w:rsidR="00BB2F6E" w:rsidRPr="000C6236" w:rsidTr="000D46B5">
        <w:trPr>
          <w:trHeight w:val="396"/>
        </w:trPr>
        <w:tc>
          <w:tcPr>
            <w:tcW w:w="287" w:type="pct"/>
            <w:vMerge/>
            <w:vAlign w:val="center"/>
          </w:tcPr>
          <w:p w:rsidR="00BB2F6E" w:rsidRPr="001D18FD" w:rsidRDefault="00BB2F6E" w:rsidP="00496F23">
            <w:pPr>
              <w:rPr>
                <w:rFonts w:cstheme="minorHAnsi"/>
              </w:rPr>
            </w:pPr>
          </w:p>
        </w:tc>
        <w:tc>
          <w:tcPr>
            <w:tcW w:w="848" w:type="pct"/>
            <w:vMerge/>
            <w:vAlign w:val="center"/>
          </w:tcPr>
          <w:p w:rsidR="00BB2F6E" w:rsidRPr="001D18FD" w:rsidRDefault="00BB2F6E" w:rsidP="00501A82">
            <w:pPr>
              <w:rPr>
                <w:rFonts w:cstheme="minorHAnsi"/>
              </w:rPr>
            </w:pPr>
          </w:p>
        </w:tc>
        <w:tc>
          <w:tcPr>
            <w:tcW w:w="748" w:type="pct"/>
            <w:vAlign w:val="center"/>
          </w:tcPr>
          <w:p w:rsidR="00BB2F6E" w:rsidRDefault="00466EA1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BB2F6E">
              <w:rPr>
                <w:rFonts w:cstheme="minorHAnsi"/>
              </w:rPr>
              <w:t>l. 3. Nacrta Pravilnika</w:t>
            </w:r>
          </w:p>
        </w:tc>
        <w:tc>
          <w:tcPr>
            <w:tcW w:w="1495" w:type="pct"/>
            <w:vAlign w:val="center"/>
          </w:tcPr>
          <w:p w:rsidR="00BB2F6E" w:rsidRDefault="00BB2F6E" w:rsidP="00A25B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se naknade </w:t>
            </w:r>
            <w:r w:rsidR="0061147C">
              <w:rPr>
                <w:rFonts w:cstheme="minorHAnsi"/>
              </w:rPr>
              <w:t xml:space="preserve">povećati te ih </w:t>
            </w:r>
            <w:r>
              <w:rPr>
                <w:rFonts w:cstheme="minorHAnsi"/>
              </w:rPr>
              <w:t xml:space="preserve">odrediti na sljedeći način: za </w:t>
            </w:r>
            <w:r w:rsidR="00E97083">
              <w:rPr>
                <w:rFonts w:cstheme="minorHAnsi"/>
              </w:rPr>
              <w:t xml:space="preserve">svaki sat </w:t>
            </w:r>
            <w:r>
              <w:rPr>
                <w:rFonts w:cstheme="minorHAnsi"/>
              </w:rPr>
              <w:t>rad</w:t>
            </w:r>
            <w:r w:rsidR="00E9708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izvan redovnog radnog vremena u iznosu 50% </w:t>
            </w:r>
            <w:r w:rsidR="00E97083">
              <w:rPr>
                <w:rFonts w:cstheme="minorHAnsi"/>
              </w:rPr>
              <w:t xml:space="preserve">uvećanog iznosa </w:t>
            </w:r>
            <w:r>
              <w:rPr>
                <w:rFonts w:cstheme="minorHAnsi"/>
              </w:rPr>
              <w:t>satnice, a 80% po satu u dane tjednog odmora</w:t>
            </w:r>
            <w:r w:rsidR="00E97083">
              <w:rPr>
                <w:rFonts w:cstheme="minorHAnsi"/>
              </w:rPr>
              <w:t xml:space="preserve"> te</w:t>
            </w:r>
            <w:r>
              <w:rPr>
                <w:rFonts w:cstheme="minorHAnsi"/>
              </w:rPr>
              <w:t xml:space="preserve"> 150% za državne blagdane. Predlaže se naknadu za stalnu pripravnost odrediti u visini od 10% satnice redovnog radnog vremena za svaki sat </w:t>
            </w:r>
            <w:r w:rsidR="00E97083">
              <w:rPr>
                <w:rFonts w:cstheme="minorHAnsi"/>
              </w:rPr>
              <w:t>proveden u pripravnosti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2" w:type="pct"/>
          </w:tcPr>
          <w:p w:rsidR="001654C1" w:rsidRDefault="001654C1" w:rsidP="001654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Prijedlog se djelomično prihvaća.</w:t>
            </w:r>
          </w:p>
          <w:p w:rsidR="001654C1" w:rsidRDefault="001654C1" w:rsidP="001654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</w:t>
            </w:r>
            <w:r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se povećavaju, ali ne u predloženoj visini. Naknade se povećavaju sukladno visini osiguranih sredstava u državnom proračunu.</w:t>
            </w:r>
          </w:p>
          <w:p w:rsidR="00BB2F6E" w:rsidRDefault="00BB2F6E" w:rsidP="001D18FD">
            <w:pPr>
              <w:rPr>
                <w:rFonts w:cstheme="minorHAnsi"/>
                <w:b/>
              </w:rPr>
            </w:pPr>
          </w:p>
        </w:tc>
      </w:tr>
      <w:tr w:rsidR="00466EA1" w:rsidRPr="000C6236" w:rsidTr="000D46B5">
        <w:trPr>
          <w:trHeight w:val="396"/>
        </w:trPr>
        <w:tc>
          <w:tcPr>
            <w:tcW w:w="287" w:type="pct"/>
            <w:vAlign w:val="center"/>
          </w:tcPr>
          <w:p w:rsidR="00466EA1" w:rsidRPr="006C44B6" w:rsidRDefault="00466EA1" w:rsidP="00466EA1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11.</w:t>
            </w:r>
          </w:p>
        </w:tc>
        <w:tc>
          <w:tcPr>
            <w:tcW w:w="848" w:type="pct"/>
            <w:vAlign w:val="center"/>
          </w:tcPr>
          <w:p w:rsidR="00466EA1" w:rsidRPr="006C44B6" w:rsidRDefault="00466EA1" w:rsidP="00466EA1">
            <w:pPr>
              <w:jc w:val="center"/>
              <w:rPr>
                <w:rFonts w:cstheme="minorHAnsi"/>
                <w:b/>
              </w:rPr>
            </w:pPr>
            <w:r w:rsidRPr="006C44B6">
              <w:rPr>
                <w:rFonts w:cstheme="minorHAnsi"/>
                <w:b/>
              </w:rPr>
              <w:t>Prekršajni sud u Kutini</w:t>
            </w:r>
          </w:p>
        </w:tc>
        <w:tc>
          <w:tcPr>
            <w:tcW w:w="748" w:type="pct"/>
            <w:vAlign w:val="center"/>
          </w:tcPr>
          <w:p w:rsidR="00466EA1" w:rsidRDefault="00466EA1" w:rsidP="00BB2F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čl. 3. Nacrta Pravilnika</w:t>
            </w:r>
          </w:p>
        </w:tc>
        <w:tc>
          <w:tcPr>
            <w:tcW w:w="1495" w:type="pct"/>
            <w:vAlign w:val="center"/>
          </w:tcPr>
          <w:p w:rsidR="00466EA1" w:rsidRDefault="00466EA1" w:rsidP="00F23B2B">
            <w:pPr>
              <w:jc w:val="both"/>
              <w:rPr>
                <w:rFonts w:cstheme="minorHAnsi"/>
              </w:rPr>
            </w:pPr>
            <w:r w:rsidRPr="00123EA9">
              <w:rPr>
                <w:rFonts w:cstheme="minorHAnsi"/>
              </w:rPr>
              <w:t>Primjedba - iznos naknade predložen Nacrtom</w:t>
            </w:r>
            <w:r w:rsidR="00B50F1B" w:rsidRPr="00123EA9">
              <w:rPr>
                <w:rFonts w:cstheme="minorHAnsi"/>
              </w:rPr>
              <w:t xml:space="preserve"> Pravilnika</w:t>
            </w:r>
            <w:r w:rsidRPr="00123EA9">
              <w:rPr>
                <w:rFonts w:cstheme="minorHAnsi"/>
              </w:rPr>
              <w:t xml:space="preserve"> je niži od iznosa naknade koji se </w:t>
            </w:r>
            <w:r w:rsidRPr="00123EA9">
              <w:rPr>
                <w:rFonts w:cstheme="minorHAnsi"/>
              </w:rPr>
              <w:lastRenderedPageBreak/>
              <w:t>tijekom dežurstva isplaćuje službenicima.</w:t>
            </w:r>
            <w:r w:rsidR="00B50F1B" w:rsidRPr="00123EA9">
              <w:rPr>
                <w:rFonts w:cstheme="minorHAnsi"/>
              </w:rPr>
              <w:t xml:space="preserve"> Predlaže se </w:t>
            </w:r>
            <w:r w:rsidR="00A25B12" w:rsidRPr="00123EA9">
              <w:rPr>
                <w:rFonts w:cstheme="minorHAnsi"/>
              </w:rPr>
              <w:t xml:space="preserve">propisati </w:t>
            </w:r>
            <w:r w:rsidR="00B50F1B" w:rsidRPr="00123EA9">
              <w:rPr>
                <w:rFonts w:cstheme="minorHAnsi"/>
              </w:rPr>
              <w:t xml:space="preserve">112,50 kn bruto po satu </w:t>
            </w:r>
            <w:r w:rsidR="00B50F1B">
              <w:rPr>
                <w:rFonts w:cstheme="minorHAnsi"/>
              </w:rPr>
              <w:t>radnim danom, a 166,66 kn bruto po satu u dane tjednog odmora, neradne dane i državne blagdane. Predlaže se povećati i naknadu za stalnu pripravnost na 7,50kn bruto po satu.</w:t>
            </w:r>
          </w:p>
        </w:tc>
        <w:tc>
          <w:tcPr>
            <w:tcW w:w="1622" w:type="pct"/>
          </w:tcPr>
          <w:p w:rsidR="001654C1" w:rsidRDefault="001654C1" w:rsidP="001654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Prijedlog se djelomično prihvaća.</w:t>
            </w:r>
          </w:p>
          <w:p w:rsidR="001654C1" w:rsidRDefault="001654C1" w:rsidP="001654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</w:t>
            </w:r>
            <w:r w:rsidRPr="0069240E">
              <w:rPr>
                <w:rFonts w:cstheme="minorHAnsi"/>
              </w:rPr>
              <w:t>aknade</w:t>
            </w:r>
            <w:r>
              <w:rPr>
                <w:rFonts w:cstheme="minorHAnsi"/>
              </w:rPr>
              <w:t xml:space="preserve"> za dežurstvo se povećavaju, ali ne u </w:t>
            </w:r>
            <w:r>
              <w:rPr>
                <w:rFonts w:cstheme="minorHAnsi"/>
              </w:rPr>
              <w:lastRenderedPageBreak/>
              <w:t>predloženoj visini. Naknade se povećavaju sukladno visini osiguranih sredstava u državnom proračunu.</w:t>
            </w:r>
          </w:p>
          <w:p w:rsidR="00466EA1" w:rsidRDefault="00466EA1" w:rsidP="001654C1">
            <w:pPr>
              <w:jc w:val="both"/>
              <w:rPr>
                <w:rFonts w:cstheme="minorHAnsi"/>
                <w:b/>
              </w:rPr>
            </w:pPr>
          </w:p>
        </w:tc>
      </w:tr>
    </w:tbl>
    <w:p w:rsidR="003F3E97" w:rsidRDefault="003F3E97"/>
    <w:sectPr w:rsidR="003F3E97" w:rsidSect="00576AB8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6" w:rsidRDefault="00684916" w:rsidP="003E7FA9">
      <w:pPr>
        <w:spacing w:after="0" w:line="240" w:lineRule="auto"/>
      </w:pPr>
      <w:r>
        <w:separator/>
      </w:r>
    </w:p>
  </w:endnote>
  <w:endnote w:type="continuationSeparator" w:id="0">
    <w:p w:rsidR="00684916" w:rsidRDefault="00684916" w:rsidP="003E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302872"/>
      <w:docPartObj>
        <w:docPartGallery w:val="Page Numbers (Bottom of Page)"/>
        <w:docPartUnique/>
      </w:docPartObj>
    </w:sdtPr>
    <w:sdtEndPr/>
    <w:sdtContent>
      <w:p w:rsidR="006E0F6F" w:rsidRDefault="006E0F6F" w:rsidP="003E7F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5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6" w:rsidRDefault="00684916" w:rsidP="003E7FA9">
      <w:pPr>
        <w:spacing w:after="0" w:line="240" w:lineRule="auto"/>
      </w:pPr>
      <w:r>
        <w:separator/>
      </w:r>
    </w:p>
  </w:footnote>
  <w:footnote w:type="continuationSeparator" w:id="0">
    <w:p w:rsidR="00684916" w:rsidRDefault="00684916" w:rsidP="003E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304"/>
    <w:multiLevelType w:val="hybridMultilevel"/>
    <w:tmpl w:val="2260327A"/>
    <w:lvl w:ilvl="0" w:tplc="21F05E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97"/>
    <w:rsid w:val="00020C97"/>
    <w:rsid w:val="000232B8"/>
    <w:rsid w:val="0003692F"/>
    <w:rsid w:val="00045EB4"/>
    <w:rsid w:val="0005742A"/>
    <w:rsid w:val="0006012A"/>
    <w:rsid w:val="00063395"/>
    <w:rsid w:val="000644C6"/>
    <w:rsid w:val="00065A97"/>
    <w:rsid w:val="00070EF7"/>
    <w:rsid w:val="0009633F"/>
    <w:rsid w:val="000A7037"/>
    <w:rsid w:val="000A716F"/>
    <w:rsid w:val="000B3440"/>
    <w:rsid w:val="000B701B"/>
    <w:rsid w:val="000C39A4"/>
    <w:rsid w:val="000C6236"/>
    <w:rsid w:val="000C6952"/>
    <w:rsid w:val="000D46B5"/>
    <w:rsid w:val="00106840"/>
    <w:rsid w:val="00115DBD"/>
    <w:rsid w:val="00115EC1"/>
    <w:rsid w:val="00123915"/>
    <w:rsid w:val="00123EA9"/>
    <w:rsid w:val="001254FC"/>
    <w:rsid w:val="001266A8"/>
    <w:rsid w:val="001470D1"/>
    <w:rsid w:val="001654C1"/>
    <w:rsid w:val="001668EA"/>
    <w:rsid w:val="001833E9"/>
    <w:rsid w:val="001907A3"/>
    <w:rsid w:val="00193AC7"/>
    <w:rsid w:val="00193F15"/>
    <w:rsid w:val="00194176"/>
    <w:rsid w:val="001A314C"/>
    <w:rsid w:val="001A44C9"/>
    <w:rsid w:val="001B3B9C"/>
    <w:rsid w:val="001B5CB9"/>
    <w:rsid w:val="001D18FD"/>
    <w:rsid w:val="001D5F62"/>
    <w:rsid w:val="001F75A3"/>
    <w:rsid w:val="00212656"/>
    <w:rsid w:val="002162D3"/>
    <w:rsid w:val="00244F59"/>
    <w:rsid w:val="0025329A"/>
    <w:rsid w:val="00272774"/>
    <w:rsid w:val="00275AD2"/>
    <w:rsid w:val="00280609"/>
    <w:rsid w:val="00291D11"/>
    <w:rsid w:val="002A0BEA"/>
    <w:rsid w:val="002B0BDD"/>
    <w:rsid w:val="002B5736"/>
    <w:rsid w:val="002B6F24"/>
    <w:rsid w:val="002C2B3F"/>
    <w:rsid w:val="002D3FEB"/>
    <w:rsid w:val="002E2668"/>
    <w:rsid w:val="002E7CE5"/>
    <w:rsid w:val="002F6BD7"/>
    <w:rsid w:val="00363B8B"/>
    <w:rsid w:val="0036608D"/>
    <w:rsid w:val="00370F42"/>
    <w:rsid w:val="0037728D"/>
    <w:rsid w:val="003A3FDF"/>
    <w:rsid w:val="003B493B"/>
    <w:rsid w:val="003D338B"/>
    <w:rsid w:val="003D63B6"/>
    <w:rsid w:val="003E043B"/>
    <w:rsid w:val="003E7FA9"/>
    <w:rsid w:val="003F3E97"/>
    <w:rsid w:val="0041317C"/>
    <w:rsid w:val="00415610"/>
    <w:rsid w:val="00423249"/>
    <w:rsid w:val="004404DD"/>
    <w:rsid w:val="00466EA1"/>
    <w:rsid w:val="00477579"/>
    <w:rsid w:val="00496F23"/>
    <w:rsid w:val="004C16F5"/>
    <w:rsid w:val="004C1A0B"/>
    <w:rsid w:val="004C1C37"/>
    <w:rsid w:val="004E2E2E"/>
    <w:rsid w:val="004E5CCD"/>
    <w:rsid w:val="004E7911"/>
    <w:rsid w:val="004F420D"/>
    <w:rsid w:val="00501A82"/>
    <w:rsid w:val="00512192"/>
    <w:rsid w:val="00515C59"/>
    <w:rsid w:val="00537F8D"/>
    <w:rsid w:val="00542261"/>
    <w:rsid w:val="00550D8D"/>
    <w:rsid w:val="0055312D"/>
    <w:rsid w:val="00563794"/>
    <w:rsid w:val="00576AB8"/>
    <w:rsid w:val="005876E6"/>
    <w:rsid w:val="005A1DFA"/>
    <w:rsid w:val="005E0566"/>
    <w:rsid w:val="005E575C"/>
    <w:rsid w:val="005F07E5"/>
    <w:rsid w:val="006037F5"/>
    <w:rsid w:val="0061147C"/>
    <w:rsid w:val="00625E9D"/>
    <w:rsid w:val="00633C31"/>
    <w:rsid w:val="00642EA3"/>
    <w:rsid w:val="00645D39"/>
    <w:rsid w:val="006632C7"/>
    <w:rsid w:val="00667E9F"/>
    <w:rsid w:val="00670B93"/>
    <w:rsid w:val="00676C48"/>
    <w:rsid w:val="00684916"/>
    <w:rsid w:val="0068619F"/>
    <w:rsid w:val="0069240E"/>
    <w:rsid w:val="00695714"/>
    <w:rsid w:val="006A58D3"/>
    <w:rsid w:val="006B671E"/>
    <w:rsid w:val="006B74AB"/>
    <w:rsid w:val="006C00B0"/>
    <w:rsid w:val="006C44B6"/>
    <w:rsid w:val="006E0F6F"/>
    <w:rsid w:val="006E5681"/>
    <w:rsid w:val="006F46BA"/>
    <w:rsid w:val="00704C7E"/>
    <w:rsid w:val="00710690"/>
    <w:rsid w:val="007111EE"/>
    <w:rsid w:val="0071405E"/>
    <w:rsid w:val="007148DB"/>
    <w:rsid w:val="00717164"/>
    <w:rsid w:val="007437F7"/>
    <w:rsid w:val="007440A2"/>
    <w:rsid w:val="007457DA"/>
    <w:rsid w:val="00750DEC"/>
    <w:rsid w:val="00750FAB"/>
    <w:rsid w:val="00760080"/>
    <w:rsid w:val="0076737E"/>
    <w:rsid w:val="00767FE2"/>
    <w:rsid w:val="00774EF9"/>
    <w:rsid w:val="00780B71"/>
    <w:rsid w:val="00794EE3"/>
    <w:rsid w:val="007A185C"/>
    <w:rsid w:val="007C0F3F"/>
    <w:rsid w:val="00800159"/>
    <w:rsid w:val="0080557D"/>
    <w:rsid w:val="0083297E"/>
    <w:rsid w:val="00841BEB"/>
    <w:rsid w:val="00843790"/>
    <w:rsid w:val="00851FE7"/>
    <w:rsid w:val="0087464E"/>
    <w:rsid w:val="00876DC1"/>
    <w:rsid w:val="00880BA1"/>
    <w:rsid w:val="008B0029"/>
    <w:rsid w:val="008B20C2"/>
    <w:rsid w:val="008B3715"/>
    <w:rsid w:val="008D640B"/>
    <w:rsid w:val="008D73D4"/>
    <w:rsid w:val="008D7D23"/>
    <w:rsid w:val="008E2779"/>
    <w:rsid w:val="00903396"/>
    <w:rsid w:val="009214AD"/>
    <w:rsid w:val="009244CA"/>
    <w:rsid w:val="00974A88"/>
    <w:rsid w:val="00993926"/>
    <w:rsid w:val="00994604"/>
    <w:rsid w:val="00997A23"/>
    <w:rsid w:val="009A46DA"/>
    <w:rsid w:val="009C4C0C"/>
    <w:rsid w:val="009D3662"/>
    <w:rsid w:val="009E6D28"/>
    <w:rsid w:val="00A04553"/>
    <w:rsid w:val="00A25B12"/>
    <w:rsid w:val="00A418B9"/>
    <w:rsid w:val="00A64453"/>
    <w:rsid w:val="00A64650"/>
    <w:rsid w:val="00A7538C"/>
    <w:rsid w:val="00A876B5"/>
    <w:rsid w:val="00AA24DE"/>
    <w:rsid w:val="00AB4721"/>
    <w:rsid w:val="00AE1AD1"/>
    <w:rsid w:val="00AF64FF"/>
    <w:rsid w:val="00B00435"/>
    <w:rsid w:val="00B01E49"/>
    <w:rsid w:val="00B25A7F"/>
    <w:rsid w:val="00B2664C"/>
    <w:rsid w:val="00B27BA2"/>
    <w:rsid w:val="00B47C4A"/>
    <w:rsid w:val="00B50F1B"/>
    <w:rsid w:val="00B52410"/>
    <w:rsid w:val="00B641E0"/>
    <w:rsid w:val="00B718B2"/>
    <w:rsid w:val="00B72729"/>
    <w:rsid w:val="00B7405C"/>
    <w:rsid w:val="00B7564C"/>
    <w:rsid w:val="00B830BB"/>
    <w:rsid w:val="00B85ACF"/>
    <w:rsid w:val="00B90153"/>
    <w:rsid w:val="00B9034F"/>
    <w:rsid w:val="00B918DB"/>
    <w:rsid w:val="00B92AFE"/>
    <w:rsid w:val="00B94D48"/>
    <w:rsid w:val="00BA3B04"/>
    <w:rsid w:val="00BB2F6E"/>
    <w:rsid w:val="00BB6EA4"/>
    <w:rsid w:val="00BD1338"/>
    <w:rsid w:val="00BF0AA2"/>
    <w:rsid w:val="00BF2146"/>
    <w:rsid w:val="00C6769A"/>
    <w:rsid w:val="00C70CF8"/>
    <w:rsid w:val="00C750B5"/>
    <w:rsid w:val="00C943EA"/>
    <w:rsid w:val="00C97E27"/>
    <w:rsid w:val="00CD15B6"/>
    <w:rsid w:val="00CF436B"/>
    <w:rsid w:val="00D11020"/>
    <w:rsid w:val="00D21D37"/>
    <w:rsid w:val="00D24C38"/>
    <w:rsid w:val="00D3308E"/>
    <w:rsid w:val="00D82306"/>
    <w:rsid w:val="00D85FEF"/>
    <w:rsid w:val="00DA29ED"/>
    <w:rsid w:val="00DD3C2D"/>
    <w:rsid w:val="00DE2F31"/>
    <w:rsid w:val="00DE4B06"/>
    <w:rsid w:val="00DF2975"/>
    <w:rsid w:val="00E21BB9"/>
    <w:rsid w:val="00E262E2"/>
    <w:rsid w:val="00E37336"/>
    <w:rsid w:val="00E5237B"/>
    <w:rsid w:val="00E56D07"/>
    <w:rsid w:val="00E62051"/>
    <w:rsid w:val="00E7152A"/>
    <w:rsid w:val="00E97083"/>
    <w:rsid w:val="00EC3B7B"/>
    <w:rsid w:val="00EE24BB"/>
    <w:rsid w:val="00F113A2"/>
    <w:rsid w:val="00F120E3"/>
    <w:rsid w:val="00F15D3C"/>
    <w:rsid w:val="00F23B2B"/>
    <w:rsid w:val="00F3088E"/>
    <w:rsid w:val="00F35836"/>
    <w:rsid w:val="00F367A8"/>
    <w:rsid w:val="00F57C2F"/>
    <w:rsid w:val="00F9216E"/>
    <w:rsid w:val="00FB2E26"/>
    <w:rsid w:val="00FB3D84"/>
    <w:rsid w:val="00FC1E38"/>
    <w:rsid w:val="00FD0424"/>
    <w:rsid w:val="00FE1291"/>
    <w:rsid w:val="00FE1837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3F3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F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7E9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FA9"/>
  </w:style>
  <w:style w:type="paragraph" w:styleId="Podnoje">
    <w:name w:val="footer"/>
    <w:basedOn w:val="Normal"/>
    <w:link w:val="PodnojeChar"/>
    <w:uiPriority w:val="99"/>
    <w:unhideWhenUsed/>
    <w:rsid w:val="003E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FA9"/>
  </w:style>
  <w:style w:type="paragraph" w:customStyle="1" w:styleId="t-9-8">
    <w:name w:val="t-9-8"/>
    <w:basedOn w:val="Normal"/>
    <w:rsid w:val="006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3F3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F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7E9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FA9"/>
  </w:style>
  <w:style w:type="paragraph" w:styleId="Podnoje">
    <w:name w:val="footer"/>
    <w:basedOn w:val="Normal"/>
    <w:link w:val="PodnojeChar"/>
    <w:uiPriority w:val="99"/>
    <w:unhideWhenUsed/>
    <w:rsid w:val="003E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FA9"/>
  </w:style>
  <w:style w:type="paragraph" w:customStyle="1" w:styleId="t-9-8">
    <w:name w:val="t-9-8"/>
    <w:basedOn w:val="Normal"/>
    <w:rsid w:val="006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DFA4-5C44-4571-AEDE-08B713C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zoreb1</cp:lastModifiedBy>
  <cp:revision>2</cp:revision>
  <cp:lastPrinted>2015-03-19T13:05:00Z</cp:lastPrinted>
  <dcterms:created xsi:type="dcterms:W3CDTF">2015-03-31T06:38:00Z</dcterms:created>
  <dcterms:modified xsi:type="dcterms:W3CDTF">2015-03-31T06:38:00Z</dcterms:modified>
</cp:coreProperties>
</file>